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A8" w:rsidRDefault="00FF730B" w:rsidP="00FF730B">
      <w:pPr>
        <w:pStyle w:val="titre10"/>
        <w:rPr>
          <w:rFonts w:asciiTheme="minorHAnsi" w:hAnsiTheme="minorHAnsi"/>
        </w:rPr>
      </w:pPr>
      <w:r>
        <w:t>ORGANISATION JUDICIAIRE</w:t>
      </w:r>
    </w:p>
    <w:p w:rsidR="00FF730B" w:rsidRDefault="00F021D8" w:rsidP="006B4DA8">
      <w:pPr>
        <w:pStyle w:val="Titre2"/>
      </w:pPr>
      <w:r>
        <w:t>5 axes de la réforme :</w:t>
      </w:r>
    </w:p>
    <w:p w:rsidR="00F021D8" w:rsidRPr="00F021D8" w:rsidRDefault="00F021D8" w:rsidP="00F021D8">
      <w:r w:rsidRPr="00F021D8">
        <w:t>La transformation numérique, l’amélioration et la simplification de la procédure pénale, l’amélioration et la simplification de la procédure civile, l</w:t>
      </w:r>
      <w:r>
        <w:t xml:space="preserve">’adaptation de l’organisation </w:t>
      </w:r>
      <w:r w:rsidRPr="00F021D8">
        <w:t>judiciaire, le sens et l’efficacité des peines.</w:t>
      </w:r>
    </w:p>
    <w:p w:rsidR="006B4DA8" w:rsidRDefault="00487F5A" w:rsidP="006B4DA8">
      <w:pPr>
        <w:pStyle w:val="Titre2"/>
      </w:pPr>
      <w:r>
        <w:t>D</w:t>
      </w:r>
      <w:r w:rsidR="00FF730B">
        <w:t>epuis quand</w:t>
      </w:r>
      <w:r>
        <w:t> ?</w:t>
      </w:r>
    </w:p>
    <w:p w:rsidR="00487F5A" w:rsidRDefault="00FF730B" w:rsidP="00C23465">
      <w:r>
        <w:t>Loi de la programmation 2018-2022 promulguée le 23 mars 2019</w:t>
      </w:r>
    </w:p>
    <w:p w:rsidR="00754797" w:rsidRDefault="00826A79" w:rsidP="00C23465">
      <w:pPr>
        <w:rPr>
          <w:rFonts w:asciiTheme="minorHAnsi" w:hAnsiTheme="minorHAnsi"/>
        </w:rPr>
      </w:pPr>
      <w:r>
        <w:rPr>
          <w:rFonts w:asciiTheme="minorHAnsi" w:hAnsiTheme="minorHAnsi"/>
          <w:noProof/>
          <w:lang w:eastAsia="fr-FR"/>
        </w:rPr>
        <w:drawing>
          <wp:inline distT="0" distB="0" distL="0" distR="0">
            <wp:extent cx="5191125" cy="6798699"/>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10000" contrast="30000"/>
                    </a:blip>
                    <a:srcRect/>
                    <a:stretch>
                      <a:fillRect/>
                    </a:stretch>
                  </pic:blipFill>
                  <pic:spPr bwMode="auto">
                    <a:xfrm>
                      <a:off x="0" y="0"/>
                      <a:ext cx="5197715" cy="6807330"/>
                    </a:xfrm>
                    <a:prstGeom prst="rect">
                      <a:avLst/>
                    </a:prstGeom>
                    <a:noFill/>
                    <a:ln w="9525">
                      <a:noFill/>
                      <a:miter lim="800000"/>
                      <a:headEnd/>
                      <a:tailEnd/>
                    </a:ln>
                  </pic:spPr>
                </pic:pic>
              </a:graphicData>
            </a:graphic>
          </wp:inline>
        </w:drawing>
      </w:r>
    </w:p>
    <w:p w:rsidR="003C67AB" w:rsidRDefault="003C67AB" w:rsidP="00C23465">
      <w:pPr>
        <w:rPr>
          <w:rFonts w:ascii="AlphaFridgeMagnetsAllCap" w:hAnsi="AlphaFridgeMagnetsAllCap"/>
          <w:bCs/>
          <w:iCs/>
          <w:color w:val="4F81BD" w:themeColor="accent1"/>
          <w:sz w:val="28"/>
          <w:szCs w:val="28"/>
        </w:rPr>
      </w:pPr>
    </w:p>
    <w:p w:rsidR="00754797" w:rsidRDefault="00FF730B" w:rsidP="00C23465">
      <w:pPr>
        <w:rPr>
          <w:rFonts w:asciiTheme="minorHAnsi" w:hAnsiTheme="minorHAnsi"/>
        </w:rPr>
      </w:pPr>
      <w:r>
        <w:rPr>
          <w:rFonts w:ascii="AlphaFridgeMagnetsAllCap" w:hAnsi="AlphaFridgeMagnetsAllCap"/>
          <w:bCs/>
          <w:iCs/>
          <w:color w:val="4F81BD" w:themeColor="accent1"/>
          <w:sz w:val="28"/>
          <w:szCs w:val="28"/>
        </w:rPr>
        <w:lastRenderedPageBreak/>
        <w:t>Quels changements/évolutions</w:t>
      </w:r>
      <w:r w:rsidR="00F021D8">
        <w:rPr>
          <w:rFonts w:ascii="AlphaFridgeMagnetsAllCap" w:hAnsi="AlphaFridgeMagnetsAllCap"/>
          <w:bCs/>
          <w:iCs/>
          <w:color w:val="4F81BD" w:themeColor="accent1"/>
          <w:sz w:val="28"/>
          <w:szCs w:val="28"/>
        </w:rPr>
        <w:t xml:space="preserve"> retenir ?</w:t>
      </w:r>
    </w:p>
    <w:p w:rsidR="00754797" w:rsidRDefault="00754797" w:rsidP="00C23465">
      <w:pPr>
        <w:rPr>
          <w:rFonts w:ascii="AlphaFridgeMagnetsAllCap" w:eastAsiaTheme="majorEastAsia" w:hAnsi="AlphaFridgeMagnetsAllCap" w:cstheme="majorBidi"/>
          <w:b/>
          <w:bCs/>
          <w:color w:val="C0504D" w:themeColor="accent2"/>
        </w:rPr>
      </w:pPr>
    </w:p>
    <w:p w:rsidR="00754797" w:rsidRDefault="00FF730B" w:rsidP="00C23465">
      <w:pPr>
        <w:rPr>
          <w:rFonts w:ascii="AlphaFridgeMagnetsAllCap" w:eastAsiaTheme="majorEastAsia" w:hAnsi="AlphaFridgeMagnetsAllCap" w:cstheme="majorBidi"/>
          <w:b/>
          <w:bCs/>
          <w:color w:val="C0504D" w:themeColor="accent2"/>
        </w:rPr>
      </w:pPr>
      <w:r w:rsidRPr="00FF730B">
        <w:rPr>
          <w:rFonts w:ascii="AlphaFridgeMagnetsAllCap" w:eastAsiaTheme="majorEastAsia" w:hAnsi="AlphaFridgeMagnetsAllCap" w:cstheme="majorBidi"/>
          <w:b/>
          <w:bCs/>
          <w:color w:val="C0504D" w:themeColor="accent2"/>
        </w:rPr>
        <w:t>Développement du recours aux modes alternatifs de règlement des différends</w:t>
      </w:r>
    </w:p>
    <w:p w:rsidR="00FF730B" w:rsidRDefault="00FF730B" w:rsidP="00754797">
      <w:pPr>
        <w:rPr>
          <w:rFonts w:asciiTheme="minorHAnsi" w:eastAsia="SimSun" w:hAnsiTheme="minorHAnsi"/>
        </w:rPr>
      </w:pPr>
    </w:p>
    <w:p w:rsidR="00B45A10" w:rsidRPr="00FF730B" w:rsidRDefault="00FF730B" w:rsidP="00FF730B">
      <w:pPr>
        <w:pStyle w:val="Paragraphedeliste"/>
        <w:numPr>
          <w:ilvl w:val="0"/>
          <w:numId w:val="20"/>
        </w:numPr>
        <w:rPr>
          <w:rFonts w:asciiTheme="minorHAnsi" w:hAnsiTheme="minorHAnsi"/>
        </w:rPr>
      </w:pPr>
      <w:r>
        <w:t>permet au JAF de désigner un médiateur pour les tentatives de conciliation prescrites par la loi en matière de divorce et de séparation de corps, d’enjoindre aux parties de rencontrer un médiateur en tout état de la procédure (dont référé), d’ordonner une médiation dans la décision statuant définitivement sur les modalités d’exercice de l’autorité parentale</w:t>
      </w:r>
    </w:p>
    <w:p w:rsidR="00FF730B" w:rsidRPr="00FF730B" w:rsidRDefault="00FF730B" w:rsidP="00FF730B">
      <w:pPr>
        <w:pStyle w:val="Paragraphedeliste"/>
        <w:ind w:firstLine="0"/>
        <w:rPr>
          <w:rFonts w:asciiTheme="minorHAnsi" w:hAnsiTheme="minorHAnsi"/>
        </w:rPr>
      </w:pPr>
    </w:p>
    <w:p w:rsidR="00FF730B" w:rsidRPr="007E46AF" w:rsidRDefault="00FF730B" w:rsidP="00B45A10">
      <w:pPr>
        <w:pStyle w:val="Paragraphedeliste"/>
        <w:numPr>
          <w:ilvl w:val="0"/>
          <w:numId w:val="19"/>
        </w:numPr>
        <w:rPr>
          <w:rFonts w:asciiTheme="minorHAnsi" w:hAnsiTheme="minorHAnsi"/>
        </w:rPr>
      </w:pPr>
      <w:r>
        <w:t>prévoit une tentative obligatoire de conciliation, médiation ou procédure participative préalable à la saisine du tribunal de grande instance lorsque la demande est relative à un conflit de voisinage ou tend au paiement d’une somme n’excédant pas un certain montant, sous peine d’irrecevabilité de la demande.</w:t>
      </w:r>
    </w:p>
    <w:p w:rsidR="007E46AF" w:rsidRPr="007E46AF" w:rsidRDefault="007E46AF" w:rsidP="007E46AF">
      <w:pPr>
        <w:pStyle w:val="Paragraphedeliste"/>
        <w:ind w:firstLine="0"/>
        <w:rPr>
          <w:rFonts w:asciiTheme="minorHAnsi" w:hAnsiTheme="minorHAnsi"/>
        </w:rPr>
      </w:pPr>
    </w:p>
    <w:p w:rsidR="00B45A10" w:rsidRPr="00B45A10" w:rsidRDefault="00B45A10" w:rsidP="00B45A10">
      <w:pPr>
        <w:pStyle w:val="Paragraphedeliste"/>
        <w:ind w:firstLine="0"/>
        <w:rPr>
          <w:rFonts w:asciiTheme="minorHAnsi" w:hAnsiTheme="minorHAnsi"/>
        </w:rPr>
      </w:pPr>
    </w:p>
    <w:p w:rsidR="00754797" w:rsidRPr="00754797" w:rsidRDefault="00754797" w:rsidP="00754797">
      <w:pPr>
        <w:rPr>
          <w:rFonts w:asciiTheme="minorHAnsi" w:eastAsia="SimSun" w:hAnsiTheme="minorHAnsi"/>
        </w:rPr>
      </w:pPr>
    </w:p>
    <w:p w:rsidR="00754797" w:rsidRDefault="00FC0793" w:rsidP="00C23465">
      <w:pPr>
        <w:rPr>
          <w:rFonts w:ascii="AlphaFridgeMagnetsAllCap" w:eastAsiaTheme="majorEastAsia" w:hAnsi="AlphaFridgeMagnetsAllCap" w:cstheme="majorBidi"/>
          <w:b/>
          <w:bCs/>
          <w:color w:val="C0504D" w:themeColor="accent2"/>
        </w:rPr>
      </w:pPr>
      <w:r>
        <w:rPr>
          <w:rFonts w:ascii="AlphaFridgeMagnetsAllCap" w:eastAsiaTheme="majorEastAsia" w:hAnsi="AlphaFridgeMagnetsAllCap" w:cstheme="majorBidi"/>
          <w:b/>
          <w:bCs/>
          <w:color w:val="C0504D" w:themeColor="accent2"/>
        </w:rPr>
        <w:t>Fusion de juridictions</w:t>
      </w:r>
    </w:p>
    <w:p w:rsidR="00FC0793" w:rsidRDefault="00FC0793" w:rsidP="00C23465">
      <w:pPr>
        <w:rPr>
          <w:rFonts w:eastAsia="SimSun"/>
        </w:rPr>
      </w:pPr>
      <w:r w:rsidRPr="00FC0793">
        <w:rPr>
          <w:rFonts w:eastAsia="SimSun"/>
        </w:rPr>
        <w:t>Le texte vient fusionner les tribunaux d’instance et les tribunaux de grande instance dans un seul "</w:t>
      </w:r>
      <w:r w:rsidRPr="00FC0793">
        <w:rPr>
          <w:rFonts w:eastAsia="SimSun"/>
          <w:b/>
        </w:rPr>
        <w:t>tribunal judiciaire</w:t>
      </w:r>
      <w:r w:rsidRPr="00FC0793">
        <w:rPr>
          <w:rFonts w:eastAsia="SimSun"/>
        </w:rPr>
        <w:t>", à compter du 1er janvier 2020. Cette réforme "interviendra sans qu’aucune structure ne ferme ou soit supprimée"</w:t>
      </w:r>
      <w:r>
        <w:rPr>
          <w:rFonts w:eastAsia="SimSun"/>
        </w:rPr>
        <w:t>.</w:t>
      </w:r>
    </w:p>
    <w:p w:rsidR="00FC0793" w:rsidRDefault="00FC0793" w:rsidP="00C23465">
      <w:pPr>
        <w:rPr>
          <w:rFonts w:eastAsia="SimSun"/>
        </w:rPr>
      </w:pPr>
      <w:r w:rsidRPr="00FC0793">
        <w:rPr>
          <w:rFonts w:eastAsia="SimSun"/>
        </w:rPr>
        <w:t>En clair, dans les villes où cohabitent un tribunal de grande instance et un tribunal d’instance, ils seront fusionnés. Ailleurs, les tribunaux d’instances seront transformés en "</w:t>
      </w:r>
      <w:r w:rsidRPr="00FC0793">
        <w:rPr>
          <w:rFonts w:eastAsia="SimSun"/>
          <w:b/>
        </w:rPr>
        <w:t>chambre de proximité</w:t>
      </w:r>
      <w:r w:rsidRPr="00FC0793">
        <w:rPr>
          <w:rFonts w:eastAsia="SimSun"/>
        </w:rPr>
        <w:t>" du TGI. </w:t>
      </w:r>
    </w:p>
    <w:p w:rsidR="00FC0793" w:rsidRDefault="00FC0793" w:rsidP="00C23465">
      <w:pPr>
        <w:rPr>
          <w:rFonts w:eastAsia="SimSun"/>
        </w:rPr>
      </w:pPr>
      <w:r w:rsidRPr="00FC0793">
        <w:rPr>
          <w:rFonts w:eastAsia="SimSun"/>
        </w:rPr>
        <w:t>La loi instaure aussi des "</w:t>
      </w:r>
      <w:r w:rsidRPr="00FC0793">
        <w:rPr>
          <w:rFonts w:eastAsia="SimSun"/>
          <w:b/>
        </w:rPr>
        <w:t>pôles spécialisés</w:t>
      </w:r>
      <w:r w:rsidRPr="00FC0793">
        <w:rPr>
          <w:rFonts w:eastAsia="SimSun"/>
        </w:rPr>
        <w:t>" : dans les départements possédant plusieurs TGI, ceux-ci seront amenés à se spécialiser dans des contentieux techniques nécessitant du temps. Un décret en Conseil d’Etat viendra fixer les matières concernées.</w:t>
      </w:r>
    </w:p>
    <w:p w:rsidR="00FC0793" w:rsidRPr="00FC0793" w:rsidRDefault="00FC0793" w:rsidP="00C23465">
      <w:pPr>
        <w:rPr>
          <w:rFonts w:eastAsia="SimSun"/>
        </w:rPr>
      </w:pPr>
      <w:r w:rsidRPr="00FC0793">
        <w:rPr>
          <w:rFonts w:eastAsia="SimSun"/>
        </w:rPr>
        <w:t>La loi prévoit aussi d’expérimenter dans deux régions une nouvelle organisation des cours d’appel : il s’agira de conférer à des chefs de cour d’appel une fonction d’animation et de coordination pour plusieurs cours. A compter de 2020, des cours d’appel pourront aussi se spécialiser dans certains contentieux civils. </w:t>
      </w:r>
    </w:p>
    <w:p w:rsidR="006B4DA8" w:rsidRDefault="006B4DA8" w:rsidP="00C23465">
      <w:pPr>
        <w:rPr>
          <w:rFonts w:asciiTheme="minorHAnsi" w:hAnsiTheme="minorHAnsi"/>
          <w:i/>
        </w:rPr>
      </w:pPr>
    </w:p>
    <w:p w:rsidR="00FC0793" w:rsidRPr="00FC0793" w:rsidRDefault="00FC0793" w:rsidP="00C23465">
      <w:pPr>
        <w:rPr>
          <w:rFonts w:ascii="AlphaFridgeMagnetsAllCap" w:eastAsiaTheme="majorEastAsia" w:hAnsi="AlphaFridgeMagnetsAllCap" w:cstheme="majorBidi"/>
          <w:b/>
          <w:bCs/>
          <w:color w:val="C0504D" w:themeColor="accent2"/>
        </w:rPr>
      </w:pPr>
      <w:r w:rsidRPr="00FC0793">
        <w:rPr>
          <w:rFonts w:ascii="AlphaFridgeMagnetsAllCap" w:eastAsiaTheme="majorEastAsia" w:hAnsi="AlphaFridgeMagnetsAllCap" w:cstheme="majorBidi"/>
          <w:b/>
          <w:bCs/>
          <w:color w:val="C0504D" w:themeColor="accent2"/>
        </w:rPr>
        <w:t xml:space="preserve">Création de nouvelles </w:t>
      </w:r>
      <w:r>
        <w:rPr>
          <w:rFonts w:ascii="AlphaFridgeMagnetsAllCap" w:eastAsiaTheme="majorEastAsia" w:hAnsi="AlphaFridgeMagnetsAllCap" w:cstheme="majorBidi"/>
          <w:b/>
          <w:bCs/>
          <w:color w:val="C0504D" w:themeColor="accent2"/>
        </w:rPr>
        <w:t>compétences</w:t>
      </w:r>
    </w:p>
    <w:p w:rsidR="00FC0793" w:rsidRDefault="00FC0793" w:rsidP="00C23465">
      <w:pPr>
        <w:rPr>
          <w:rFonts w:asciiTheme="minorHAnsi" w:hAnsiTheme="minorHAnsi"/>
        </w:rPr>
      </w:pPr>
      <w:r w:rsidRPr="00FC0793">
        <w:rPr>
          <w:rFonts w:asciiTheme="minorHAnsi" w:hAnsiTheme="minorHAnsi"/>
        </w:rPr>
        <w:t xml:space="preserve">Au pénal, la création d’un </w:t>
      </w:r>
      <w:r w:rsidRPr="00FC0793">
        <w:rPr>
          <w:rFonts w:asciiTheme="minorHAnsi" w:hAnsiTheme="minorHAnsi"/>
          <w:b/>
        </w:rPr>
        <w:t>parquet national antiterroriste</w:t>
      </w:r>
      <w:r w:rsidRPr="00FC0793">
        <w:rPr>
          <w:rFonts w:asciiTheme="minorHAnsi" w:hAnsiTheme="minorHAnsi"/>
        </w:rPr>
        <w:t xml:space="preserve"> entrera en vigueur dès 2019, avec des antennes dans toutes les régions, de même que l’expérimentation dans dix départements des "cours criminelles départementales". Composées de cinq juges professionnels, ces cours criminelles jugeront les crimes passibles de 15 à 20 ans de prison (tels que les viols), en lieu et place des jurys populaires des cours d’assises qui se trouvent engorgées. </w:t>
      </w:r>
    </w:p>
    <w:p w:rsidR="00FC0793" w:rsidRPr="00FC0793" w:rsidRDefault="00FC0793" w:rsidP="00C23465">
      <w:pPr>
        <w:rPr>
          <w:rFonts w:asciiTheme="minorHAnsi" w:hAnsiTheme="minorHAnsi"/>
        </w:rPr>
      </w:pPr>
      <w:r w:rsidRPr="00FC0793">
        <w:rPr>
          <w:rFonts w:asciiTheme="minorHAnsi" w:hAnsiTheme="minorHAnsi"/>
        </w:rPr>
        <w:t xml:space="preserve">La loi instaure une </w:t>
      </w:r>
      <w:r w:rsidRPr="00FC0793">
        <w:rPr>
          <w:rFonts w:asciiTheme="minorHAnsi" w:hAnsiTheme="minorHAnsi"/>
          <w:b/>
        </w:rPr>
        <w:t>juridiction nationale de traitement dématérialisé des injonctions à payer</w:t>
      </w:r>
      <w:r w:rsidRPr="00FC0793">
        <w:rPr>
          <w:rFonts w:asciiTheme="minorHAnsi" w:hAnsiTheme="minorHAnsi"/>
        </w:rPr>
        <w:t>. Ces requêtes sont aujourd’hui traitées dans 307 juridictions différentes. Désormais, les créanciers adresseront leur dossier en ligne à une juridique nationale unique (exemple d’un étudiant qui demanderait la restitution d’un dépôt de garantie à la fin de son bail). Entrée en vigueur : après 2020. A noter que la loi prévoit de confier à la Caisse des Dépôts le versement des saisies sur rémunérations, en cas de plusieurs créanciers, mission aujourd’hui assurée par les greffiers.</w:t>
      </w:r>
    </w:p>
    <w:p w:rsidR="00FC0793" w:rsidRDefault="00FC0793" w:rsidP="00C23465">
      <w:pPr>
        <w:rPr>
          <w:rFonts w:asciiTheme="minorHAnsi" w:hAnsiTheme="minorHAnsi"/>
          <w:i/>
        </w:rPr>
      </w:pPr>
    </w:p>
    <w:p w:rsidR="00F021D8" w:rsidRDefault="00F021D8" w:rsidP="00C23465">
      <w:pPr>
        <w:rPr>
          <w:rFonts w:ascii="AlphaFridgeMagnetsAllCap" w:eastAsiaTheme="majorEastAsia" w:hAnsi="AlphaFridgeMagnetsAllCap" w:cstheme="majorBidi"/>
          <w:b/>
          <w:bCs/>
          <w:color w:val="C0504D" w:themeColor="accent2"/>
        </w:rPr>
      </w:pPr>
    </w:p>
    <w:p w:rsidR="00F021D8" w:rsidRDefault="00F021D8" w:rsidP="00C23465">
      <w:pPr>
        <w:rPr>
          <w:rFonts w:ascii="AlphaFridgeMagnetsAllCap" w:eastAsiaTheme="majorEastAsia" w:hAnsi="AlphaFridgeMagnetsAllCap" w:cstheme="majorBidi"/>
          <w:b/>
          <w:bCs/>
          <w:color w:val="C0504D" w:themeColor="accent2"/>
        </w:rPr>
      </w:pPr>
    </w:p>
    <w:p w:rsidR="00F021D8" w:rsidRDefault="00F021D8" w:rsidP="00C23465">
      <w:pPr>
        <w:rPr>
          <w:rFonts w:ascii="AlphaFridgeMagnetsAllCap" w:eastAsiaTheme="majorEastAsia" w:hAnsi="AlphaFridgeMagnetsAllCap" w:cstheme="majorBidi"/>
          <w:b/>
          <w:bCs/>
          <w:color w:val="C0504D" w:themeColor="accent2"/>
        </w:rPr>
      </w:pPr>
    </w:p>
    <w:p w:rsidR="00FC0793" w:rsidRDefault="003C67AB" w:rsidP="00C23465">
      <w:pPr>
        <w:rPr>
          <w:rFonts w:ascii="AlphaFridgeMagnetsAllCap" w:eastAsiaTheme="majorEastAsia" w:hAnsi="AlphaFridgeMagnetsAllCap" w:cstheme="majorBidi"/>
          <w:b/>
          <w:bCs/>
          <w:color w:val="C0504D" w:themeColor="accent2"/>
        </w:rPr>
      </w:pPr>
      <w:r>
        <w:rPr>
          <w:rFonts w:ascii="AlphaFridgeMagnetsAllCap" w:eastAsiaTheme="majorEastAsia" w:hAnsi="AlphaFridgeMagnetsAllCap" w:cstheme="majorBidi"/>
          <w:b/>
          <w:bCs/>
          <w:color w:val="C0504D" w:themeColor="accent2"/>
        </w:rPr>
        <w:lastRenderedPageBreak/>
        <w:t>N</w:t>
      </w:r>
      <w:r w:rsidR="00FC0793">
        <w:rPr>
          <w:rFonts w:ascii="AlphaFridgeMagnetsAllCap" w:eastAsiaTheme="majorEastAsia" w:hAnsi="AlphaFridgeMagnetsAllCap" w:cstheme="majorBidi"/>
          <w:b/>
          <w:bCs/>
          <w:color w:val="C0504D" w:themeColor="accent2"/>
        </w:rPr>
        <w:t>ou</w:t>
      </w:r>
      <w:r>
        <w:rPr>
          <w:rFonts w:ascii="AlphaFridgeMagnetsAllCap" w:eastAsiaTheme="majorEastAsia" w:hAnsi="AlphaFridgeMagnetsAllCap" w:cstheme="majorBidi"/>
          <w:b/>
          <w:bCs/>
          <w:color w:val="C0504D" w:themeColor="accent2"/>
        </w:rPr>
        <w:t>velle échelle des peines</w:t>
      </w:r>
    </w:p>
    <w:p w:rsidR="00F021D8" w:rsidRDefault="00F021D8" w:rsidP="00C23465">
      <w:pPr>
        <w:rPr>
          <w:rFonts w:ascii="AlphaFridgeMagnetsAllCap" w:eastAsiaTheme="majorEastAsia" w:hAnsi="AlphaFridgeMagnetsAllCap" w:cstheme="majorBidi"/>
          <w:b/>
          <w:bCs/>
          <w:color w:val="C0504D" w:themeColor="accent2"/>
        </w:rPr>
      </w:pPr>
    </w:p>
    <w:p w:rsidR="003C67AB" w:rsidRDefault="003C67AB" w:rsidP="00C23465">
      <w:pPr>
        <w:rPr>
          <w:rFonts w:asciiTheme="minorHAnsi" w:hAnsiTheme="minorHAnsi"/>
        </w:rPr>
      </w:pPr>
      <w:r>
        <w:rPr>
          <w:rFonts w:asciiTheme="minorHAnsi" w:hAnsiTheme="minorHAnsi"/>
        </w:rPr>
        <w:t>L</w:t>
      </w:r>
      <w:r w:rsidRPr="003C67AB">
        <w:rPr>
          <w:rFonts w:asciiTheme="minorHAnsi" w:hAnsiTheme="minorHAnsi"/>
        </w:rPr>
        <w:t xml:space="preserve">a réforme comporte un important volet sur "l’efficacité et le sens de la peine", l’idée étant d’appliquer une nouvelle échelle pour éviter les courtes peines d’emprisonnement, dans un contexte de saturation des prisons. </w:t>
      </w:r>
    </w:p>
    <w:p w:rsidR="003C67AB" w:rsidRDefault="003C67AB" w:rsidP="00C23465">
      <w:pPr>
        <w:rPr>
          <w:rFonts w:asciiTheme="minorHAnsi" w:hAnsiTheme="minorHAnsi"/>
        </w:rPr>
      </w:pPr>
    </w:p>
    <w:p w:rsidR="003C67AB" w:rsidRDefault="003C67AB" w:rsidP="00C23465">
      <w:pPr>
        <w:rPr>
          <w:rFonts w:asciiTheme="minorHAnsi" w:hAnsiTheme="minorHAnsi"/>
        </w:rPr>
      </w:pPr>
      <w:r>
        <w:rPr>
          <w:rFonts w:asciiTheme="minorHAnsi" w:hAnsiTheme="minorHAnsi"/>
        </w:rPr>
        <w:t>L</w:t>
      </w:r>
      <w:r w:rsidRPr="003C67AB">
        <w:rPr>
          <w:rFonts w:asciiTheme="minorHAnsi" w:hAnsiTheme="minorHAnsi"/>
        </w:rPr>
        <w:t xml:space="preserve">es peines inférieures à un mois de prison sont supprimées. </w:t>
      </w:r>
    </w:p>
    <w:p w:rsidR="003C67AB" w:rsidRDefault="003C67AB" w:rsidP="00C23465">
      <w:pPr>
        <w:rPr>
          <w:rFonts w:asciiTheme="minorHAnsi" w:hAnsiTheme="minorHAnsi"/>
        </w:rPr>
      </w:pPr>
      <w:r>
        <w:rPr>
          <w:rFonts w:asciiTheme="minorHAnsi" w:hAnsiTheme="minorHAnsi"/>
        </w:rPr>
        <w:t>Les peines</w:t>
      </w:r>
      <w:r w:rsidRPr="003C67AB">
        <w:rPr>
          <w:rFonts w:asciiTheme="minorHAnsi" w:hAnsiTheme="minorHAnsi"/>
        </w:rPr>
        <w:t xml:space="preserve"> supérieures à un an seront exécutées sans aménagement</w:t>
      </w:r>
      <w:r>
        <w:rPr>
          <w:rFonts w:asciiTheme="minorHAnsi" w:hAnsiTheme="minorHAnsi"/>
        </w:rPr>
        <w:t>.</w:t>
      </w:r>
    </w:p>
    <w:p w:rsidR="003C67AB" w:rsidRDefault="003C67AB" w:rsidP="00C23465">
      <w:pPr>
        <w:rPr>
          <w:rFonts w:asciiTheme="minorHAnsi" w:hAnsiTheme="minorHAnsi"/>
        </w:rPr>
      </w:pPr>
      <w:r>
        <w:rPr>
          <w:rFonts w:asciiTheme="minorHAnsi" w:hAnsiTheme="minorHAnsi"/>
        </w:rPr>
        <w:t>Les peines inférieures à un</w:t>
      </w:r>
      <w:r w:rsidRPr="003C67AB">
        <w:rPr>
          <w:rFonts w:asciiTheme="minorHAnsi" w:hAnsiTheme="minorHAnsi"/>
        </w:rPr>
        <w:t xml:space="preserve"> an feront l’objet d’adaptation : travail d’intérêt général, bracelet électronique, interdiction de paraître dans le lieu où a été commise l’infraction… </w:t>
      </w:r>
    </w:p>
    <w:p w:rsidR="003C67AB" w:rsidRDefault="003C67AB" w:rsidP="00C23465">
      <w:pPr>
        <w:rPr>
          <w:rFonts w:asciiTheme="minorHAnsi" w:hAnsiTheme="minorHAnsi"/>
        </w:rPr>
      </w:pPr>
    </w:p>
    <w:p w:rsidR="003C67AB" w:rsidRDefault="003C67AB" w:rsidP="00C23465">
      <w:pPr>
        <w:rPr>
          <w:rFonts w:asciiTheme="minorHAnsi" w:hAnsiTheme="minorHAnsi"/>
        </w:rPr>
      </w:pPr>
      <w:r w:rsidRPr="003C67AB">
        <w:rPr>
          <w:rFonts w:asciiTheme="minorHAnsi" w:hAnsiTheme="minorHAnsi"/>
        </w:rPr>
        <w:t xml:space="preserve">Dès parution de la loi, les TIG (travaux d'intérêt général) en entreprise feront l’objet d’une expérimentation de trois ans. </w:t>
      </w:r>
    </w:p>
    <w:p w:rsidR="003C67AB" w:rsidRDefault="003C67AB" w:rsidP="00C23465">
      <w:pPr>
        <w:rPr>
          <w:rFonts w:asciiTheme="minorHAnsi" w:hAnsiTheme="minorHAnsi"/>
        </w:rPr>
      </w:pPr>
    </w:p>
    <w:p w:rsidR="003C67AB" w:rsidRDefault="003C67AB" w:rsidP="00C23465">
      <w:pPr>
        <w:rPr>
          <w:rFonts w:asciiTheme="minorHAnsi" w:hAnsiTheme="minorHAnsi"/>
        </w:rPr>
      </w:pPr>
      <w:r w:rsidRPr="003C67AB">
        <w:rPr>
          <w:rFonts w:asciiTheme="minorHAnsi" w:hAnsiTheme="minorHAnsi"/>
        </w:rPr>
        <w:t xml:space="preserve">Le Conseil constitutionnel a aussi validé le principe de l’amende forfaitaire pour usage de stupéfiants ou pour la vente d’alcool à des mineurs, tout en demandant de limiter cette mesure aux délits punis d’une peine de moins de </w:t>
      </w:r>
      <w:r>
        <w:rPr>
          <w:rFonts w:asciiTheme="minorHAnsi" w:hAnsiTheme="minorHAnsi"/>
        </w:rPr>
        <w:t>3</w:t>
      </w:r>
      <w:r w:rsidRPr="003C67AB">
        <w:rPr>
          <w:rFonts w:asciiTheme="minorHAnsi" w:hAnsiTheme="minorHAnsi"/>
        </w:rPr>
        <w:t xml:space="preserve"> a</w:t>
      </w:r>
      <w:r>
        <w:rPr>
          <w:rFonts w:asciiTheme="minorHAnsi" w:hAnsiTheme="minorHAnsi"/>
        </w:rPr>
        <w:t>ns.</w:t>
      </w:r>
    </w:p>
    <w:p w:rsidR="003C67AB" w:rsidRDefault="003C67AB" w:rsidP="00C23465">
      <w:pPr>
        <w:rPr>
          <w:rFonts w:asciiTheme="minorHAnsi" w:hAnsiTheme="minorHAnsi"/>
        </w:rPr>
      </w:pPr>
    </w:p>
    <w:p w:rsidR="003C67AB" w:rsidRPr="003C67AB" w:rsidRDefault="003C67AB" w:rsidP="00C23465">
      <w:pPr>
        <w:rPr>
          <w:rFonts w:ascii="AlphaFridgeMagnetsAllCap" w:eastAsiaTheme="majorEastAsia" w:hAnsi="AlphaFridgeMagnetsAllCap" w:cstheme="majorBidi"/>
          <w:b/>
          <w:bCs/>
          <w:color w:val="C0504D" w:themeColor="accent2"/>
        </w:rPr>
      </w:pPr>
      <w:r w:rsidRPr="003C67AB">
        <w:rPr>
          <w:rFonts w:ascii="AlphaFridgeMagnetsAllCap" w:eastAsiaTheme="majorEastAsia" w:hAnsi="AlphaFridgeMagnetsAllCap" w:cstheme="majorBidi"/>
          <w:b/>
          <w:bCs/>
          <w:color w:val="C0504D" w:themeColor="accent2"/>
        </w:rPr>
        <w:t xml:space="preserve">La </w:t>
      </w:r>
      <w:r w:rsidR="00F021D8">
        <w:rPr>
          <w:rFonts w:ascii="AlphaFridgeMagnetsAllCap" w:eastAsiaTheme="majorEastAsia" w:hAnsi="AlphaFridgeMagnetsAllCap" w:cstheme="majorBidi"/>
          <w:b/>
          <w:bCs/>
          <w:color w:val="C0504D" w:themeColor="accent2"/>
        </w:rPr>
        <w:t>vie carcérale</w:t>
      </w:r>
      <w:r w:rsidRPr="003C67AB">
        <w:rPr>
          <w:rFonts w:ascii="AlphaFridgeMagnetsAllCap" w:eastAsiaTheme="majorEastAsia" w:hAnsi="AlphaFridgeMagnetsAllCap" w:cstheme="majorBidi"/>
          <w:b/>
          <w:bCs/>
          <w:color w:val="C0504D" w:themeColor="accent2"/>
        </w:rPr>
        <w:t> :</w:t>
      </w:r>
    </w:p>
    <w:p w:rsidR="003C67AB" w:rsidRDefault="003C67AB" w:rsidP="00C23465">
      <w:pPr>
        <w:rPr>
          <w:rFonts w:asciiTheme="minorHAnsi" w:hAnsiTheme="minorHAnsi"/>
        </w:rPr>
      </w:pPr>
      <w:r w:rsidRPr="003C67AB">
        <w:rPr>
          <w:rFonts w:asciiTheme="minorHAnsi" w:hAnsiTheme="minorHAnsi"/>
        </w:rPr>
        <w:br/>
      </w:r>
      <w:r>
        <w:rPr>
          <w:rFonts w:asciiTheme="minorHAnsi" w:hAnsiTheme="minorHAnsi"/>
        </w:rPr>
        <w:t>Accélération des constructions de nouvelles prisons </w:t>
      </w:r>
      <w:r w:rsidR="00F021D8">
        <w:rPr>
          <w:rFonts w:asciiTheme="minorHAnsi" w:hAnsiTheme="minorHAnsi"/>
        </w:rPr>
        <w:t xml:space="preserve"> via </w:t>
      </w:r>
      <w:r>
        <w:rPr>
          <w:rFonts w:asciiTheme="minorHAnsi" w:hAnsiTheme="minorHAnsi"/>
        </w:rPr>
        <w:t>un allègement d</w:t>
      </w:r>
      <w:r w:rsidRPr="003C67AB">
        <w:rPr>
          <w:rFonts w:asciiTheme="minorHAnsi" w:hAnsiTheme="minorHAnsi"/>
        </w:rPr>
        <w:t>es procédures de consultation et d’évaluation environnementale pour la construction de 15.000 places de prison. Les cessions gratuites des collectivités sont autorisées.</w:t>
      </w:r>
    </w:p>
    <w:p w:rsidR="00F021D8" w:rsidRDefault="003C67AB" w:rsidP="00C23465">
      <w:pPr>
        <w:rPr>
          <w:rFonts w:asciiTheme="minorHAnsi" w:hAnsiTheme="minorHAnsi"/>
        </w:rPr>
      </w:pPr>
      <w:r w:rsidRPr="003C67AB">
        <w:rPr>
          <w:rFonts w:asciiTheme="minorHAnsi" w:hAnsiTheme="minorHAnsi"/>
        </w:rPr>
        <w:br/>
        <w:t xml:space="preserve">Pour les élections européennes du mois de mai, les détenus inscrits sur les listes électorales pourront voter </w:t>
      </w:r>
      <w:r w:rsidR="00F021D8">
        <w:rPr>
          <w:rFonts w:asciiTheme="minorHAnsi" w:hAnsiTheme="minorHAnsi"/>
        </w:rPr>
        <w:t>directement depuis leur prison (</w:t>
      </w:r>
      <w:r w:rsidRPr="003C67AB">
        <w:rPr>
          <w:rFonts w:asciiTheme="minorHAnsi" w:hAnsiTheme="minorHAnsi"/>
        </w:rPr>
        <w:t>Jusqu’ici, ils ne pouvaient que voter par correspondance ou dans le cadre d’une permission de sortie</w:t>
      </w:r>
      <w:r w:rsidR="00F021D8">
        <w:rPr>
          <w:rFonts w:asciiTheme="minorHAnsi" w:hAnsiTheme="minorHAnsi"/>
        </w:rPr>
        <w:t>).</w:t>
      </w:r>
    </w:p>
    <w:p w:rsidR="003C67AB" w:rsidRPr="003C67AB" w:rsidRDefault="003C67AB" w:rsidP="00C23465">
      <w:pPr>
        <w:rPr>
          <w:rFonts w:asciiTheme="minorHAnsi" w:hAnsiTheme="minorHAnsi"/>
        </w:rPr>
      </w:pPr>
      <w:r w:rsidRPr="003C67AB">
        <w:rPr>
          <w:rFonts w:asciiTheme="minorHAnsi" w:hAnsiTheme="minorHAnsi"/>
        </w:rPr>
        <w:br/>
      </w:r>
    </w:p>
    <w:p w:rsidR="006B4DA8" w:rsidRDefault="006B4DA8" w:rsidP="00C23465">
      <w:pPr>
        <w:rPr>
          <w:rFonts w:asciiTheme="minorHAnsi" w:hAnsiTheme="minorHAnsi"/>
          <w:i/>
        </w:rPr>
      </w:pPr>
    </w:p>
    <w:p w:rsidR="006B4DA8" w:rsidRDefault="006B4DA8" w:rsidP="00C23465">
      <w:r w:rsidRPr="006B4DA8">
        <w:rPr>
          <w:rFonts w:asciiTheme="minorHAnsi" w:hAnsiTheme="minorHAnsi"/>
          <w:i/>
        </w:rPr>
        <w:t>sources</w:t>
      </w:r>
      <w:r>
        <w:rPr>
          <w:rFonts w:asciiTheme="minorHAnsi" w:hAnsiTheme="minorHAnsi"/>
          <w:i/>
        </w:rPr>
        <w:t xml:space="preserve"> : </w:t>
      </w:r>
      <w:hyperlink r:id="rId9" w:history="1">
        <w:r w:rsidR="003C67AB">
          <w:rPr>
            <w:rStyle w:val="Lienhypertexte"/>
          </w:rPr>
          <w:t>https://www.banquedesterritoires.fr/reforme-de-la-justice-le-calendrier-de-la-mise-en-oeuvre</w:t>
        </w:r>
      </w:hyperlink>
    </w:p>
    <w:p w:rsidR="003C67AB" w:rsidRDefault="003C67AB" w:rsidP="00C23465">
      <w:hyperlink r:id="rId10" w:history="1">
        <w:r>
          <w:rPr>
            <w:rStyle w:val="Lienhypertexte"/>
          </w:rPr>
          <w:t>http://www.justice.gouv.fr/la-garde-des-sceaux-10016/la-reforme-de-la-justice-entre-en-vigueur-32242.html</w:t>
        </w:r>
      </w:hyperlink>
    </w:p>
    <w:p w:rsidR="00B45A10" w:rsidRDefault="00F021D8" w:rsidP="00C23465">
      <w:pPr>
        <w:rPr>
          <w:rFonts w:asciiTheme="minorHAnsi" w:hAnsiTheme="minorHAnsi"/>
          <w:i/>
        </w:rPr>
      </w:pPr>
      <w:hyperlink r:id="rId11" w:history="1">
        <w:r>
          <w:rPr>
            <w:rStyle w:val="Lienhypertexte"/>
          </w:rPr>
          <w:t>https://www.gouvernement.fr/action/reforme-de-la-justice</w:t>
        </w:r>
      </w:hyperlink>
    </w:p>
    <w:p w:rsidR="006B4DA8" w:rsidRDefault="006B4DA8" w:rsidP="00C23465">
      <w:pPr>
        <w:rPr>
          <w:rFonts w:asciiTheme="minorHAnsi" w:hAnsiTheme="minorHAnsi"/>
          <w:i/>
        </w:rPr>
      </w:pPr>
    </w:p>
    <w:p w:rsidR="006B4DA8" w:rsidRPr="006B4DA8" w:rsidRDefault="006B4DA8" w:rsidP="00C23465">
      <w:pPr>
        <w:rPr>
          <w:rFonts w:asciiTheme="minorHAnsi" w:hAnsiTheme="minorHAnsi"/>
          <w:i/>
        </w:rPr>
      </w:pPr>
    </w:p>
    <w:sectPr w:rsidR="006B4DA8" w:rsidRPr="006B4DA8" w:rsidSect="00CD01A5">
      <w:footerReference w:type="default" r:id="rId12"/>
      <w:pgSz w:w="11906" w:h="16838"/>
      <w:pgMar w:top="1135" w:right="1417" w:bottom="1417" w:left="1417" w:header="708"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395" w:rsidRDefault="001D2395" w:rsidP="00264E88">
      <w:pPr>
        <w:spacing w:line="240" w:lineRule="auto"/>
      </w:pPr>
      <w:r>
        <w:separator/>
      </w:r>
    </w:p>
  </w:endnote>
  <w:endnote w:type="continuationSeparator" w:id="1">
    <w:p w:rsidR="001D2395" w:rsidRDefault="001D2395" w:rsidP="00264E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phaFridgeMagnetsAllCap">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264E88">
      <w:tc>
        <w:tcPr>
          <w:tcW w:w="4500" w:type="pct"/>
          <w:tcBorders>
            <w:top w:val="single" w:sz="4" w:space="0" w:color="000000"/>
          </w:tcBorders>
        </w:tcPr>
        <w:p w:rsidR="001E4601" w:rsidRDefault="003C67AB" w:rsidP="00CD01A5">
          <w:pPr>
            <w:pStyle w:val="Pieddepage"/>
            <w:jc w:val="center"/>
            <w:rPr>
              <w:sz w:val="18"/>
              <w:szCs w:val="20"/>
            </w:rPr>
          </w:pPr>
          <w:r>
            <w:rPr>
              <w:b/>
              <w:color w:val="E36C0A"/>
              <w:sz w:val="20"/>
            </w:rPr>
            <w:t>Réforme judiciaire 2018-2022</w:t>
          </w:r>
          <w:r w:rsidR="00264E88" w:rsidRPr="00833857">
            <w:rPr>
              <w:sz w:val="20"/>
            </w:rPr>
            <w:t>|</w:t>
          </w:r>
          <w:r w:rsidR="00CD01A5" w:rsidRPr="00833857">
            <w:rPr>
              <w:sz w:val="20"/>
            </w:rPr>
            <w:t xml:space="preserve"> </w:t>
          </w:r>
          <w:r w:rsidR="00FB71F5">
            <w:rPr>
              <w:sz w:val="18"/>
              <w:szCs w:val="20"/>
            </w:rPr>
            <w:t>ATELIER</w:t>
          </w:r>
          <w:r w:rsidR="00CD01A5" w:rsidRPr="00833857">
            <w:rPr>
              <w:sz w:val="18"/>
              <w:szCs w:val="20"/>
            </w:rPr>
            <w:t xml:space="preserve"> GRAPHITE </w:t>
          </w:r>
        </w:p>
        <w:p w:rsidR="003C67AB" w:rsidRPr="001E4601" w:rsidRDefault="00CD01A5" w:rsidP="003C67AB">
          <w:pPr>
            <w:pStyle w:val="Pieddepage"/>
            <w:jc w:val="center"/>
            <w:rPr>
              <w:sz w:val="18"/>
              <w:szCs w:val="20"/>
            </w:rPr>
          </w:pPr>
          <w:r w:rsidRPr="00833857">
            <w:rPr>
              <w:sz w:val="18"/>
              <w:szCs w:val="20"/>
            </w:rPr>
            <w:t xml:space="preserve">157 cours Balguerie Stuttenberg - 33300 Bordeaux - 05 56 69 82 32 - </w:t>
          </w:r>
          <w:hyperlink r:id="rId1" w:history="1">
            <w:r w:rsidRPr="00833857">
              <w:rPr>
                <w:rStyle w:val="Lienhypertexte"/>
                <w:sz w:val="18"/>
                <w:szCs w:val="20"/>
              </w:rPr>
              <w:t>www.atelier-graphite.fr</w:t>
            </w:r>
          </w:hyperlink>
          <w:r w:rsidR="003C67AB">
            <w:rPr>
              <w:sz w:val="18"/>
              <w:szCs w:val="20"/>
            </w:rPr>
            <w:t xml:space="preserve"> – juillet 2019</w:t>
          </w:r>
        </w:p>
      </w:tc>
      <w:tc>
        <w:tcPr>
          <w:tcW w:w="500" w:type="pct"/>
          <w:tcBorders>
            <w:top w:val="single" w:sz="4" w:space="0" w:color="C0504D"/>
          </w:tcBorders>
          <w:shd w:val="clear" w:color="auto" w:fill="943634"/>
        </w:tcPr>
        <w:p w:rsidR="00264E88" w:rsidRDefault="0083692E">
          <w:pPr>
            <w:pStyle w:val="En-tte"/>
            <w:rPr>
              <w:color w:val="FFFFFF"/>
            </w:rPr>
          </w:pPr>
          <w:fldSimple w:instr=" PAGE   \* MERGEFORMAT ">
            <w:r w:rsidR="00F021D8" w:rsidRPr="00F021D8">
              <w:rPr>
                <w:noProof/>
                <w:color w:val="FFFFFF"/>
              </w:rPr>
              <w:t>2</w:t>
            </w:r>
          </w:fldSimple>
        </w:p>
      </w:tc>
    </w:tr>
  </w:tbl>
  <w:p w:rsidR="00264E88" w:rsidRPr="00264E88" w:rsidRDefault="00264E88" w:rsidP="00264E8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395" w:rsidRDefault="001D2395" w:rsidP="00264E88">
      <w:pPr>
        <w:spacing w:line="240" w:lineRule="auto"/>
      </w:pPr>
      <w:r>
        <w:separator/>
      </w:r>
    </w:p>
  </w:footnote>
  <w:footnote w:type="continuationSeparator" w:id="1">
    <w:p w:rsidR="001D2395" w:rsidRDefault="001D2395" w:rsidP="00264E8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4F7"/>
    <w:multiLevelType w:val="multilevel"/>
    <w:tmpl w:val="3054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5467E"/>
    <w:multiLevelType w:val="hybridMultilevel"/>
    <w:tmpl w:val="CD98ECC6"/>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C775068"/>
    <w:multiLevelType w:val="hybridMultilevel"/>
    <w:tmpl w:val="CA4671D8"/>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7A038A"/>
    <w:multiLevelType w:val="hybridMultilevel"/>
    <w:tmpl w:val="DF70880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13391"/>
    <w:multiLevelType w:val="hybridMultilevel"/>
    <w:tmpl w:val="FFE2469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20B327A2"/>
    <w:multiLevelType w:val="hybridMultilevel"/>
    <w:tmpl w:val="552277B4"/>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D42BEA"/>
    <w:multiLevelType w:val="multilevel"/>
    <w:tmpl w:val="F808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B6B45"/>
    <w:multiLevelType w:val="multilevel"/>
    <w:tmpl w:val="2110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0273A0"/>
    <w:multiLevelType w:val="hybridMultilevel"/>
    <w:tmpl w:val="09C8770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0B1EB1"/>
    <w:multiLevelType w:val="multilevel"/>
    <w:tmpl w:val="4912A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650A48"/>
    <w:multiLevelType w:val="hybridMultilevel"/>
    <w:tmpl w:val="2B9A2BDE"/>
    <w:lvl w:ilvl="0" w:tplc="237CC8C2">
      <w:numFmt w:val="bullet"/>
      <w:lvlText w:val="-"/>
      <w:lvlJc w:val="left"/>
      <w:pPr>
        <w:ind w:left="720" w:hanging="360"/>
      </w:pPr>
      <w:rPr>
        <w:rFonts w:ascii="AlphaFridgeMagnetsAllCap" w:eastAsia="Times New Roman" w:hAnsi="AlphaFridgeMagnetsAllCap"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580145"/>
    <w:multiLevelType w:val="hybridMultilevel"/>
    <w:tmpl w:val="43D485E0"/>
    <w:lvl w:ilvl="0" w:tplc="57BC191A">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EEA28A7"/>
    <w:multiLevelType w:val="hybridMultilevel"/>
    <w:tmpl w:val="CFAED0E0"/>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F34B30"/>
    <w:multiLevelType w:val="hybridMultilevel"/>
    <w:tmpl w:val="6D524A88"/>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796F01"/>
    <w:multiLevelType w:val="hybridMultilevel"/>
    <w:tmpl w:val="7EB21B0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5BE24814"/>
    <w:multiLevelType w:val="hybridMultilevel"/>
    <w:tmpl w:val="6A48CB78"/>
    <w:lvl w:ilvl="0" w:tplc="237CC8C2">
      <w:numFmt w:val="bullet"/>
      <w:lvlText w:val="-"/>
      <w:lvlJc w:val="left"/>
      <w:pPr>
        <w:ind w:left="720" w:hanging="360"/>
      </w:pPr>
      <w:rPr>
        <w:rFonts w:ascii="AlphaFridgeMagnetsAllCap" w:eastAsia="Times New Roman" w:hAnsi="AlphaFridgeMagnetsAllCap"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D914E2C"/>
    <w:multiLevelType w:val="hybridMultilevel"/>
    <w:tmpl w:val="2DD00580"/>
    <w:lvl w:ilvl="0" w:tplc="15886F5A">
      <w:numFmt w:val="bullet"/>
      <w:lvlText w:val="-"/>
      <w:lvlJc w:val="left"/>
      <w:pPr>
        <w:ind w:left="405" w:hanging="360"/>
      </w:pPr>
      <w:rPr>
        <w:rFonts w:ascii="Calibri" w:eastAsia="Times New Roman" w:hAnsi="Calibri"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7">
    <w:nsid w:val="67FF75E9"/>
    <w:multiLevelType w:val="hybridMultilevel"/>
    <w:tmpl w:val="8BFA7B4E"/>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8">
    <w:nsid w:val="6DA060BE"/>
    <w:multiLevelType w:val="multilevel"/>
    <w:tmpl w:val="54D6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D72B37"/>
    <w:multiLevelType w:val="hybridMultilevel"/>
    <w:tmpl w:val="3EF6D250"/>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427A13"/>
    <w:multiLevelType w:val="hybridMultilevel"/>
    <w:tmpl w:val="86365714"/>
    <w:lvl w:ilvl="0" w:tplc="64D243A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EAF64FE"/>
    <w:multiLevelType w:val="hybridMultilevel"/>
    <w:tmpl w:val="600C02EE"/>
    <w:lvl w:ilvl="0" w:tplc="82EAE26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0"/>
  </w:num>
  <w:num w:numId="4">
    <w:abstractNumId w:val="16"/>
  </w:num>
  <w:num w:numId="5">
    <w:abstractNumId w:val="14"/>
  </w:num>
  <w:num w:numId="6">
    <w:abstractNumId w:val="7"/>
  </w:num>
  <w:num w:numId="7">
    <w:abstractNumId w:val="9"/>
  </w:num>
  <w:num w:numId="8">
    <w:abstractNumId w:val="4"/>
  </w:num>
  <w:num w:numId="9">
    <w:abstractNumId w:val="17"/>
  </w:num>
  <w:num w:numId="10">
    <w:abstractNumId w:val="19"/>
  </w:num>
  <w:num w:numId="11">
    <w:abstractNumId w:val="3"/>
  </w:num>
  <w:num w:numId="12">
    <w:abstractNumId w:val="2"/>
  </w:num>
  <w:num w:numId="13">
    <w:abstractNumId w:val="8"/>
  </w:num>
  <w:num w:numId="14">
    <w:abstractNumId w:val="5"/>
  </w:num>
  <w:num w:numId="15">
    <w:abstractNumId w:val="12"/>
  </w:num>
  <w:num w:numId="16">
    <w:abstractNumId w:val="21"/>
  </w:num>
  <w:num w:numId="17">
    <w:abstractNumId w:val="13"/>
  </w:num>
  <w:num w:numId="18">
    <w:abstractNumId w:val="1"/>
  </w:num>
  <w:num w:numId="19">
    <w:abstractNumId w:val="11"/>
  </w:num>
  <w:num w:numId="20">
    <w:abstractNumId w:val="20"/>
  </w:num>
  <w:num w:numId="21">
    <w:abstractNumId w:val="15"/>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0DB6"/>
    <w:rsid w:val="00002DC6"/>
    <w:rsid w:val="000134E0"/>
    <w:rsid w:val="00062496"/>
    <w:rsid w:val="0006413D"/>
    <w:rsid w:val="000A08D7"/>
    <w:rsid w:val="000B1C29"/>
    <w:rsid w:val="00113CB8"/>
    <w:rsid w:val="00130F52"/>
    <w:rsid w:val="00171389"/>
    <w:rsid w:val="00184026"/>
    <w:rsid w:val="001D2395"/>
    <w:rsid w:val="001D2BF0"/>
    <w:rsid w:val="001E4601"/>
    <w:rsid w:val="001F62BB"/>
    <w:rsid w:val="00264E88"/>
    <w:rsid w:val="0027385C"/>
    <w:rsid w:val="002A14A5"/>
    <w:rsid w:val="002A24EF"/>
    <w:rsid w:val="002D1D2E"/>
    <w:rsid w:val="002F29AC"/>
    <w:rsid w:val="00305D42"/>
    <w:rsid w:val="003165F4"/>
    <w:rsid w:val="00350642"/>
    <w:rsid w:val="003876A1"/>
    <w:rsid w:val="00396093"/>
    <w:rsid w:val="003A0DCF"/>
    <w:rsid w:val="003C6653"/>
    <w:rsid w:val="003C67AB"/>
    <w:rsid w:val="004414FB"/>
    <w:rsid w:val="00443D22"/>
    <w:rsid w:val="00452D83"/>
    <w:rsid w:val="00487F5A"/>
    <w:rsid w:val="004D5DBC"/>
    <w:rsid w:val="004D7870"/>
    <w:rsid w:val="004F6E00"/>
    <w:rsid w:val="00542920"/>
    <w:rsid w:val="00546A45"/>
    <w:rsid w:val="005676F2"/>
    <w:rsid w:val="005C6805"/>
    <w:rsid w:val="005D6C76"/>
    <w:rsid w:val="00645807"/>
    <w:rsid w:val="00693D84"/>
    <w:rsid w:val="00695375"/>
    <w:rsid w:val="006B4DA8"/>
    <w:rsid w:val="00712B2C"/>
    <w:rsid w:val="00715F8E"/>
    <w:rsid w:val="00745A52"/>
    <w:rsid w:val="00754797"/>
    <w:rsid w:val="007A0523"/>
    <w:rsid w:val="007A56A7"/>
    <w:rsid w:val="007C2C67"/>
    <w:rsid w:val="007E46AF"/>
    <w:rsid w:val="007E5B94"/>
    <w:rsid w:val="007E70A2"/>
    <w:rsid w:val="007F088D"/>
    <w:rsid w:val="007F6AF8"/>
    <w:rsid w:val="008004C6"/>
    <w:rsid w:val="0081463E"/>
    <w:rsid w:val="00826A79"/>
    <w:rsid w:val="00833857"/>
    <w:rsid w:val="00835125"/>
    <w:rsid w:val="0083692E"/>
    <w:rsid w:val="00846075"/>
    <w:rsid w:val="008520B6"/>
    <w:rsid w:val="00863955"/>
    <w:rsid w:val="0089011D"/>
    <w:rsid w:val="008B715D"/>
    <w:rsid w:val="008C5F4E"/>
    <w:rsid w:val="008E3A3A"/>
    <w:rsid w:val="008F2F9C"/>
    <w:rsid w:val="008F7879"/>
    <w:rsid w:val="00903F4E"/>
    <w:rsid w:val="00932F60"/>
    <w:rsid w:val="009528CD"/>
    <w:rsid w:val="009615BF"/>
    <w:rsid w:val="009B28B1"/>
    <w:rsid w:val="009F50D4"/>
    <w:rsid w:val="00A06B0E"/>
    <w:rsid w:val="00A152AD"/>
    <w:rsid w:val="00A30B66"/>
    <w:rsid w:val="00A462A9"/>
    <w:rsid w:val="00AA29B7"/>
    <w:rsid w:val="00AC3FB1"/>
    <w:rsid w:val="00AD5333"/>
    <w:rsid w:val="00AE5C9C"/>
    <w:rsid w:val="00B45A10"/>
    <w:rsid w:val="00B73814"/>
    <w:rsid w:val="00B802BA"/>
    <w:rsid w:val="00B86A63"/>
    <w:rsid w:val="00BC6717"/>
    <w:rsid w:val="00C052C0"/>
    <w:rsid w:val="00C20DE5"/>
    <w:rsid w:val="00C23465"/>
    <w:rsid w:val="00C771C9"/>
    <w:rsid w:val="00C918E6"/>
    <w:rsid w:val="00C92CE0"/>
    <w:rsid w:val="00C955E9"/>
    <w:rsid w:val="00CD01A5"/>
    <w:rsid w:val="00CE7CD3"/>
    <w:rsid w:val="00D22435"/>
    <w:rsid w:val="00D24B5C"/>
    <w:rsid w:val="00D31C77"/>
    <w:rsid w:val="00D3221A"/>
    <w:rsid w:val="00D6135E"/>
    <w:rsid w:val="00D80927"/>
    <w:rsid w:val="00DD2903"/>
    <w:rsid w:val="00E128FB"/>
    <w:rsid w:val="00E213F8"/>
    <w:rsid w:val="00E2380F"/>
    <w:rsid w:val="00E31627"/>
    <w:rsid w:val="00E609F4"/>
    <w:rsid w:val="00E7243F"/>
    <w:rsid w:val="00E93A5E"/>
    <w:rsid w:val="00EB43C2"/>
    <w:rsid w:val="00F021D8"/>
    <w:rsid w:val="00F254A8"/>
    <w:rsid w:val="00F314B0"/>
    <w:rsid w:val="00F37443"/>
    <w:rsid w:val="00FB71F5"/>
    <w:rsid w:val="00FC0793"/>
    <w:rsid w:val="00FC0DB6"/>
    <w:rsid w:val="00FE4EC1"/>
    <w:rsid w:val="00FF73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33"/>
    <w:pPr>
      <w:spacing w:line="276" w:lineRule="auto"/>
      <w:jc w:val="both"/>
    </w:pPr>
    <w:rPr>
      <w:rFonts w:cs="Times New Roman"/>
      <w:sz w:val="22"/>
      <w:szCs w:val="22"/>
      <w:lang w:eastAsia="en-US"/>
    </w:rPr>
  </w:style>
  <w:style w:type="paragraph" w:styleId="Titre1">
    <w:name w:val="heading 1"/>
    <w:basedOn w:val="Normal"/>
    <w:next w:val="Normal"/>
    <w:link w:val="Titre1Car"/>
    <w:uiPriority w:val="9"/>
    <w:rsid w:val="00903F4E"/>
    <w:pPr>
      <w:keepNext/>
      <w:spacing w:line="240" w:lineRule="auto"/>
      <w:jc w:val="center"/>
      <w:outlineLvl w:val="0"/>
    </w:pPr>
    <w:rPr>
      <w:rFonts w:ascii="Times New Roman" w:hAnsi="Times New Roman"/>
      <w:b/>
      <w:bCs/>
      <w:sz w:val="24"/>
      <w:szCs w:val="24"/>
      <w:u w:val="single"/>
      <w:lang w:eastAsia="fr-FR"/>
    </w:rPr>
  </w:style>
  <w:style w:type="paragraph" w:styleId="Titre2">
    <w:name w:val="heading 2"/>
    <w:basedOn w:val="Normal"/>
    <w:next w:val="Normal"/>
    <w:link w:val="Titre2Car"/>
    <w:uiPriority w:val="9"/>
    <w:unhideWhenUsed/>
    <w:qFormat/>
    <w:rsid w:val="00C92CE0"/>
    <w:pPr>
      <w:keepNext/>
      <w:spacing w:before="240" w:after="60"/>
      <w:outlineLvl w:val="1"/>
    </w:pPr>
    <w:rPr>
      <w:rFonts w:ascii="AlphaFridgeMagnetsAllCap" w:hAnsi="AlphaFridgeMagnetsAllCap"/>
      <w:bCs/>
      <w:iCs/>
      <w:color w:val="4F81BD" w:themeColor="accent1"/>
      <w:sz w:val="28"/>
      <w:szCs w:val="28"/>
    </w:rPr>
  </w:style>
  <w:style w:type="paragraph" w:styleId="Titre3">
    <w:name w:val="heading 3"/>
    <w:basedOn w:val="Normal"/>
    <w:next w:val="Normal"/>
    <w:link w:val="Titre3Car"/>
    <w:uiPriority w:val="9"/>
    <w:unhideWhenUsed/>
    <w:qFormat/>
    <w:rsid w:val="00171389"/>
    <w:pPr>
      <w:keepNext/>
      <w:keepLines/>
      <w:spacing w:before="200"/>
      <w:outlineLvl w:val="2"/>
    </w:pPr>
    <w:rPr>
      <w:rFonts w:ascii="AlphaFridgeMagnetsAllCap" w:eastAsiaTheme="majorEastAsia" w:hAnsi="AlphaFridgeMagnetsAllCap" w:cstheme="majorBidi"/>
      <w:b/>
      <w:bCs/>
      <w:color w:val="C0504D" w:themeColor="accent2"/>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903F4E"/>
    <w:rPr>
      <w:rFonts w:ascii="Times New Roman" w:hAnsi="Times New Roman" w:cs="Times New Roman"/>
      <w:b/>
      <w:bCs/>
      <w:sz w:val="24"/>
      <w:szCs w:val="24"/>
      <w:u w:val="single"/>
    </w:rPr>
  </w:style>
  <w:style w:type="character" w:customStyle="1" w:styleId="Titre2Car">
    <w:name w:val="Titre 2 Car"/>
    <w:basedOn w:val="Policepardfaut"/>
    <w:link w:val="Titre2"/>
    <w:uiPriority w:val="9"/>
    <w:locked/>
    <w:rsid w:val="00C92CE0"/>
    <w:rPr>
      <w:rFonts w:ascii="AlphaFridgeMagnetsAllCap" w:hAnsi="AlphaFridgeMagnetsAllCap" w:cs="Times New Roman"/>
      <w:bCs/>
      <w:iCs/>
      <w:color w:val="4F81BD" w:themeColor="accent1"/>
      <w:sz w:val="28"/>
      <w:szCs w:val="28"/>
      <w:lang w:eastAsia="en-US"/>
    </w:rPr>
  </w:style>
  <w:style w:type="character" w:styleId="Lienhypertexte">
    <w:name w:val="Hyperlink"/>
    <w:basedOn w:val="Policepardfaut"/>
    <w:uiPriority w:val="99"/>
    <w:unhideWhenUsed/>
    <w:rsid w:val="00FC0DB6"/>
    <w:rPr>
      <w:rFonts w:cs="Times New Roman"/>
      <w:color w:val="0000FF"/>
      <w:u w:val="single"/>
    </w:rPr>
  </w:style>
  <w:style w:type="paragraph" w:styleId="Citationintense">
    <w:name w:val="Intense Quote"/>
    <w:basedOn w:val="Normal"/>
    <w:next w:val="Normal"/>
    <w:link w:val="CitationintenseCar"/>
    <w:uiPriority w:val="30"/>
    <w:qFormat/>
    <w:rsid w:val="00903F4E"/>
    <w:pPr>
      <w:pBdr>
        <w:bottom w:val="single" w:sz="4" w:space="4" w:color="4F81BD"/>
      </w:pBdr>
      <w:spacing w:before="200" w:after="280" w:line="240" w:lineRule="auto"/>
      <w:ind w:left="936" w:right="936"/>
      <w:jc w:val="left"/>
    </w:pPr>
    <w:rPr>
      <w:rFonts w:ascii="Times New Roman" w:hAnsi="Times New Roman"/>
      <w:b/>
      <w:bCs/>
      <w:i/>
      <w:iCs/>
      <w:color w:val="4F81BD"/>
      <w:sz w:val="24"/>
      <w:szCs w:val="24"/>
      <w:lang w:eastAsia="fr-FR"/>
    </w:rPr>
  </w:style>
  <w:style w:type="character" w:customStyle="1" w:styleId="CitationintenseCar">
    <w:name w:val="Citation intense Car"/>
    <w:basedOn w:val="Policepardfaut"/>
    <w:link w:val="Citationintense"/>
    <w:uiPriority w:val="30"/>
    <w:locked/>
    <w:rsid w:val="00903F4E"/>
    <w:rPr>
      <w:rFonts w:ascii="Times New Roman" w:hAnsi="Times New Roman" w:cs="Times New Roman"/>
      <w:b/>
      <w:bCs/>
      <w:i/>
      <w:iCs/>
      <w:color w:val="4F81BD"/>
      <w:sz w:val="24"/>
      <w:szCs w:val="24"/>
    </w:rPr>
  </w:style>
  <w:style w:type="paragraph" w:customStyle="1" w:styleId="titre10">
    <w:name w:val="titre 1"/>
    <w:basedOn w:val="Normal"/>
    <w:link w:val="titre1Car0"/>
    <w:qFormat/>
    <w:rsid w:val="00171389"/>
    <w:pPr>
      <w:jc w:val="center"/>
    </w:pPr>
    <w:rPr>
      <w:rFonts w:ascii="AlphaFridgeMagnetsAllCap" w:hAnsi="AlphaFridgeMagnetsAllCap"/>
      <w:color w:val="E36C0A"/>
      <w:sz w:val="32"/>
    </w:rPr>
  </w:style>
  <w:style w:type="character" w:customStyle="1" w:styleId="titre1Car0">
    <w:name w:val="titre 1 Car"/>
    <w:basedOn w:val="Policepardfaut"/>
    <w:link w:val="titre10"/>
    <w:locked/>
    <w:rsid w:val="00171389"/>
    <w:rPr>
      <w:rFonts w:ascii="AlphaFridgeMagnetsAllCap" w:hAnsi="AlphaFridgeMagnetsAllCap" w:cs="Times New Roman"/>
      <w:color w:val="E36C0A"/>
      <w:sz w:val="32"/>
      <w:szCs w:val="22"/>
      <w:lang w:eastAsia="en-US"/>
    </w:rPr>
  </w:style>
  <w:style w:type="paragraph" w:styleId="Paragraphedeliste">
    <w:name w:val="List Paragraph"/>
    <w:basedOn w:val="Normal"/>
    <w:uiPriority w:val="34"/>
    <w:qFormat/>
    <w:rsid w:val="00A30B66"/>
    <w:pPr>
      <w:spacing w:line="240" w:lineRule="auto"/>
      <w:ind w:left="720" w:hanging="1021"/>
      <w:contextualSpacing/>
      <w:jc w:val="left"/>
    </w:pPr>
    <w:rPr>
      <w:rFonts w:eastAsia="SimSun"/>
    </w:rPr>
  </w:style>
  <w:style w:type="paragraph" w:styleId="En-tte">
    <w:name w:val="header"/>
    <w:basedOn w:val="Normal"/>
    <w:link w:val="En-tteCar"/>
    <w:uiPriority w:val="99"/>
    <w:unhideWhenUsed/>
    <w:rsid w:val="00264E88"/>
    <w:pPr>
      <w:tabs>
        <w:tab w:val="center" w:pos="4536"/>
        <w:tab w:val="right" w:pos="9072"/>
      </w:tabs>
    </w:pPr>
  </w:style>
  <w:style w:type="character" w:customStyle="1" w:styleId="En-tteCar">
    <w:name w:val="En-tête Car"/>
    <w:basedOn w:val="Policepardfaut"/>
    <w:link w:val="En-tte"/>
    <w:uiPriority w:val="99"/>
    <w:locked/>
    <w:rsid w:val="00264E88"/>
    <w:rPr>
      <w:rFonts w:cs="Times New Roman"/>
      <w:sz w:val="22"/>
      <w:szCs w:val="22"/>
      <w:lang w:eastAsia="en-US"/>
    </w:rPr>
  </w:style>
  <w:style w:type="paragraph" w:styleId="Pieddepage">
    <w:name w:val="footer"/>
    <w:basedOn w:val="Normal"/>
    <w:link w:val="PieddepageCar"/>
    <w:uiPriority w:val="99"/>
    <w:unhideWhenUsed/>
    <w:rsid w:val="00264E88"/>
    <w:pPr>
      <w:tabs>
        <w:tab w:val="center" w:pos="4536"/>
        <w:tab w:val="right" w:pos="9072"/>
      </w:tabs>
    </w:pPr>
  </w:style>
  <w:style w:type="character" w:customStyle="1" w:styleId="PieddepageCar">
    <w:name w:val="Pied de page Car"/>
    <w:basedOn w:val="Policepardfaut"/>
    <w:link w:val="Pieddepage"/>
    <w:uiPriority w:val="99"/>
    <w:locked/>
    <w:rsid w:val="00264E88"/>
    <w:rPr>
      <w:rFonts w:cs="Times New Roman"/>
      <w:sz w:val="22"/>
      <w:szCs w:val="22"/>
      <w:lang w:eastAsia="en-US"/>
    </w:rPr>
  </w:style>
  <w:style w:type="paragraph" w:styleId="Textedebulles">
    <w:name w:val="Balloon Text"/>
    <w:basedOn w:val="Normal"/>
    <w:link w:val="TextedebullesCar"/>
    <w:uiPriority w:val="99"/>
    <w:semiHidden/>
    <w:unhideWhenUsed/>
    <w:rsid w:val="00264E8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264E88"/>
    <w:rPr>
      <w:rFonts w:ascii="Tahoma" w:hAnsi="Tahoma" w:cs="Tahoma"/>
      <w:sz w:val="16"/>
      <w:szCs w:val="16"/>
      <w:lang w:eastAsia="en-US"/>
    </w:rPr>
  </w:style>
  <w:style w:type="paragraph" w:styleId="En-ttedetabledesmatires">
    <w:name w:val="TOC Heading"/>
    <w:basedOn w:val="Titre1"/>
    <w:next w:val="Normal"/>
    <w:uiPriority w:val="39"/>
    <w:semiHidden/>
    <w:unhideWhenUsed/>
    <w:qFormat/>
    <w:rsid w:val="00AC3FB1"/>
    <w:pPr>
      <w:keepLines/>
      <w:spacing w:before="480" w:line="276" w:lineRule="auto"/>
      <w:jc w:val="left"/>
      <w:outlineLvl w:val="9"/>
    </w:pPr>
    <w:rPr>
      <w:rFonts w:ascii="Cambria" w:hAnsi="Cambria"/>
      <w:color w:val="365F91"/>
      <w:sz w:val="28"/>
      <w:szCs w:val="28"/>
      <w:u w:val="none"/>
      <w:lang w:eastAsia="en-US"/>
    </w:rPr>
  </w:style>
  <w:style w:type="paragraph" w:styleId="TM2">
    <w:name w:val="toc 2"/>
    <w:basedOn w:val="Normal"/>
    <w:next w:val="Normal"/>
    <w:autoRedefine/>
    <w:uiPriority w:val="39"/>
    <w:unhideWhenUsed/>
    <w:qFormat/>
    <w:rsid w:val="00AC3FB1"/>
    <w:pPr>
      <w:spacing w:after="100"/>
      <w:ind w:left="220"/>
      <w:jc w:val="left"/>
    </w:pPr>
  </w:style>
  <w:style w:type="paragraph" w:styleId="TM1">
    <w:name w:val="toc 1"/>
    <w:basedOn w:val="Normal"/>
    <w:next w:val="Normal"/>
    <w:autoRedefine/>
    <w:uiPriority w:val="39"/>
    <w:unhideWhenUsed/>
    <w:qFormat/>
    <w:rsid w:val="00AC3FB1"/>
    <w:pPr>
      <w:spacing w:after="100"/>
      <w:jc w:val="left"/>
    </w:pPr>
  </w:style>
  <w:style w:type="paragraph" w:styleId="TM3">
    <w:name w:val="toc 3"/>
    <w:basedOn w:val="Normal"/>
    <w:next w:val="Normal"/>
    <w:autoRedefine/>
    <w:uiPriority w:val="39"/>
    <w:semiHidden/>
    <w:unhideWhenUsed/>
    <w:qFormat/>
    <w:rsid w:val="00AC3FB1"/>
    <w:pPr>
      <w:spacing w:after="100"/>
      <w:ind w:left="440"/>
      <w:jc w:val="left"/>
    </w:pPr>
  </w:style>
  <w:style w:type="paragraph" w:styleId="Notedebasdepage">
    <w:name w:val="footnote text"/>
    <w:basedOn w:val="Normal"/>
    <w:link w:val="NotedebasdepageCar"/>
    <w:uiPriority w:val="99"/>
    <w:semiHidden/>
    <w:unhideWhenUsed/>
    <w:rsid w:val="00443D22"/>
    <w:rPr>
      <w:sz w:val="20"/>
      <w:szCs w:val="20"/>
    </w:rPr>
  </w:style>
  <w:style w:type="character" w:customStyle="1" w:styleId="NotedebasdepageCar">
    <w:name w:val="Note de bas de page Car"/>
    <w:basedOn w:val="Policepardfaut"/>
    <w:link w:val="Notedebasdepage"/>
    <w:uiPriority w:val="99"/>
    <w:semiHidden/>
    <w:rsid w:val="00443D22"/>
    <w:rPr>
      <w:rFonts w:cs="Times New Roman"/>
      <w:lang w:eastAsia="en-US"/>
    </w:rPr>
  </w:style>
  <w:style w:type="character" w:styleId="Appelnotedebasdep">
    <w:name w:val="footnote reference"/>
    <w:basedOn w:val="Policepardfaut"/>
    <w:uiPriority w:val="99"/>
    <w:semiHidden/>
    <w:unhideWhenUsed/>
    <w:rsid w:val="00443D22"/>
    <w:rPr>
      <w:vertAlign w:val="superscript"/>
    </w:rPr>
  </w:style>
  <w:style w:type="character" w:customStyle="1" w:styleId="Titre3Car">
    <w:name w:val="Titre 3 Car"/>
    <w:basedOn w:val="Policepardfaut"/>
    <w:link w:val="Titre3"/>
    <w:uiPriority w:val="9"/>
    <w:rsid w:val="00171389"/>
    <w:rPr>
      <w:rFonts w:ascii="AlphaFridgeMagnetsAllCap" w:eastAsiaTheme="majorEastAsia" w:hAnsi="AlphaFridgeMagnetsAllCap" w:cstheme="majorBidi"/>
      <w:b/>
      <w:bCs/>
      <w:color w:val="C0504D" w:themeColor="accent2"/>
      <w:sz w:val="22"/>
      <w:szCs w:val="22"/>
      <w:lang w:eastAsia="en-US"/>
    </w:rPr>
  </w:style>
  <w:style w:type="character" w:styleId="Lienhypertextesuivivisit">
    <w:name w:val="FollowedHyperlink"/>
    <w:basedOn w:val="Policepardfaut"/>
    <w:uiPriority w:val="99"/>
    <w:semiHidden/>
    <w:unhideWhenUsed/>
    <w:rsid w:val="006B4DA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3794965">
      <w:bodyDiv w:val="1"/>
      <w:marLeft w:val="0"/>
      <w:marRight w:val="0"/>
      <w:marTop w:val="0"/>
      <w:marBottom w:val="0"/>
      <w:divBdr>
        <w:top w:val="none" w:sz="0" w:space="0" w:color="auto"/>
        <w:left w:val="none" w:sz="0" w:space="0" w:color="auto"/>
        <w:bottom w:val="none" w:sz="0" w:space="0" w:color="auto"/>
        <w:right w:val="none" w:sz="0" w:space="0" w:color="auto"/>
      </w:divBdr>
    </w:div>
    <w:div w:id="691616376">
      <w:bodyDiv w:val="1"/>
      <w:marLeft w:val="0"/>
      <w:marRight w:val="0"/>
      <w:marTop w:val="0"/>
      <w:marBottom w:val="0"/>
      <w:divBdr>
        <w:top w:val="none" w:sz="0" w:space="0" w:color="auto"/>
        <w:left w:val="none" w:sz="0" w:space="0" w:color="auto"/>
        <w:bottom w:val="none" w:sz="0" w:space="0" w:color="auto"/>
        <w:right w:val="none" w:sz="0" w:space="0" w:color="auto"/>
      </w:divBdr>
    </w:div>
    <w:div w:id="1262378059">
      <w:marLeft w:val="0"/>
      <w:marRight w:val="0"/>
      <w:marTop w:val="0"/>
      <w:marBottom w:val="0"/>
      <w:divBdr>
        <w:top w:val="none" w:sz="0" w:space="0" w:color="auto"/>
        <w:left w:val="none" w:sz="0" w:space="0" w:color="auto"/>
        <w:bottom w:val="none" w:sz="0" w:space="0" w:color="auto"/>
        <w:right w:val="none" w:sz="0" w:space="0" w:color="auto"/>
      </w:divBdr>
      <w:divsChild>
        <w:div w:id="1262378067">
          <w:marLeft w:val="0"/>
          <w:marRight w:val="0"/>
          <w:marTop w:val="0"/>
          <w:marBottom w:val="0"/>
          <w:divBdr>
            <w:top w:val="none" w:sz="0" w:space="0" w:color="auto"/>
            <w:left w:val="none" w:sz="0" w:space="0" w:color="auto"/>
            <w:bottom w:val="none" w:sz="0" w:space="0" w:color="auto"/>
            <w:right w:val="none" w:sz="0" w:space="0" w:color="auto"/>
          </w:divBdr>
          <w:divsChild>
            <w:div w:id="1262378054">
              <w:marLeft w:val="0"/>
              <w:marRight w:val="0"/>
              <w:marTop w:val="0"/>
              <w:marBottom w:val="0"/>
              <w:divBdr>
                <w:top w:val="none" w:sz="0" w:space="0" w:color="auto"/>
                <w:left w:val="none" w:sz="0" w:space="0" w:color="auto"/>
                <w:bottom w:val="none" w:sz="0" w:space="0" w:color="auto"/>
                <w:right w:val="none" w:sz="0" w:space="0" w:color="auto"/>
              </w:divBdr>
            </w:div>
            <w:div w:id="1262378062">
              <w:marLeft w:val="0"/>
              <w:marRight w:val="0"/>
              <w:marTop w:val="0"/>
              <w:marBottom w:val="0"/>
              <w:divBdr>
                <w:top w:val="none" w:sz="0" w:space="0" w:color="auto"/>
                <w:left w:val="none" w:sz="0" w:space="0" w:color="auto"/>
                <w:bottom w:val="none" w:sz="0" w:space="0" w:color="auto"/>
                <w:right w:val="none" w:sz="0" w:space="0" w:color="auto"/>
              </w:divBdr>
            </w:div>
          </w:divsChild>
        </w:div>
        <w:div w:id="1262378093">
          <w:marLeft w:val="0"/>
          <w:marRight w:val="0"/>
          <w:marTop w:val="0"/>
          <w:marBottom w:val="0"/>
          <w:divBdr>
            <w:top w:val="none" w:sz="0" w:space="0" w:color="auto"/>
            <w:left w:val="none" w:sz="0" w:space="0" w:color="auto"/>
            <w:bottom w:val="none" w:sz="0" w:space="0" w:color="auto"/>
            <w:right w:val="none" w:sz="0" w:space="0" w:color="auto"/>
          </w:divBdr>
          <w:divsChild>
            <w:div w:id="1262378058">
              <w:marLeft w:val="0"/>
              <w:marRight w:val="0"/>
              <w:marTop w:val="0"/>
              <w:marBottom w:val="0"/>
              <w:divBdr>
                <w:top w:val="none" w:sz="0" w:space="0" w:color="auto"/>
                <w:left w:val="none" w:sz="0" w:space="0" w:color="auto"/>
                <w:bottom w:val="none" w:sz="0" w:space="0" w:color="auto"/>
                <w:right w:val="none" w:sz="0" w:space="0" w:color="auto"/>
              </w:divBdr>
            </w:div>
            <w:div w:id="1262378065">
              <w:marLeft w:val="0"/>
              <w:marRight w:val="0"/>
              <w:marTop w:val="0"/>
              <w:marBottom w:val="0"/>
              <w:divBdr>
                <w:top w:val="none" w:sz="0" w:space="0" w:color="auto"/>
                <w:left w:val="none" w:sz="0" w:space="0" w:color="auto"/>
                <w:bottom w:val="none" w:sz="0" w:space="0" w:color="auto"/>
                <w:right w:val="none" w:sz="0" w:space="0" w:color="auto"/>
              </w:divBdr>
            </w:div>
            <w:div w:id="126237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60">
      <w:marLeft w:val="0"/>
      <w:marRight w:val="0"/>
      <w:marTop w:val="0"/>
      <w:marBottom w:val="0"/>
      <w:divBdr>
        <w:top w:val="none" w:sz="0" w:space="0" w:color="auto"/>
        <w:left w:val="none" w:sz="0" w:space="0" w:color="auto"/>
        <w:bottom w:val="none" w:sz="0" w:space="0" w:color="auto"/>
        <w:right w:val="none" w:sz="0" w:space="0" w:color="auto"/>
      </w:divBdr>
    </w:div>
    <w:div w:id="1262378064">
      <w:marLeft w:val="0"/>
      <w:marRight w:val="0"/>
      <w:marTop w:val="0"/>
      <w:marBottom w:val="0"/>
      <w:divBdr>
        <w:top w:val="none" w:sz="0" w:space="0" w:color="auto"/>
        <w:left w:val="none" w:sz="0" w:space="0" w:color="auto"/>
        <w:bottom w:val="none" w:sz="0" w:space="0" w:color="auto"/>
        <w:right w:val="none" w:sz="0" w:space="0" w:color="auto"/>
      </w:divBdr>
      <w:divsChild>
        <w:div w:id="1262378057">
          <w:marLeft w:val="0"/>
          <w:marRight w:val="0"/>
          <w:marTop w:val="0"/>
          <w:marBottom w:val="0"/>
          <w:divBdr>
            <w:top w:val="none" w:sz="0" w:space="0" w:color="auto"/>
            <w:left w:val="none" w:sz="0" w:space="0" w:color="auto"/>
            <w:bottom w:val="none" w:sz="0" w:space="0" w:color="auto"/>
            <w:right w:val="none" w:sz="0" w:space="0" w:color="auto"/>
          </w:divBdr>
          <w:divsChild>
            <w:div w:id="1262378055">
              <w:marLeft w:val="0"/>
              <w:marRight w:val="0"/>
              <w:marTop w:val="0"/>
              <w:marBottom w:val="0"/>
              <w:divBdr>
                <w:top w:val="none" w:sz="0" w:space="0" w:color="auto"/>
                <w:left w:val="none" w:sz="0" w:space="0" w:color="auto"/>
                <w:bottom w:val="none" w:sz="0" w:space="0" w:color="auto"/>
                <w:right w:val="none" w:sz="0" w:space="0" w:color="auto"/>
              </w:divBdr>
            </w:div>
            <w:div w:id="1262378056">
              <w:marLeft w:val="0"/>
              <w:marRight w:val="0"/>
              <w:marTop w:val="0"/>
              <w:marBottom w:val="0"/>
              <w:divBdr>
                <w:top w:val="none" w:sz="0" w:space="0" w:color="auto"/>
                <w:left w:val="none" w:sz="0" w:space="0" w:color="auto"/>
                <w:bottom w:val="none" w:sz="0" w:space="0" w:color="auto"/>
                <w:right w:val="none" w:sz="0" w:space="0" w:color="auto"/>
              </w:divBdr>
            </w:div>
          </w:divsChild>
        </w:div>
        <w:div w:id="1262378094">
          <w:marLeft w:val="0"/>
          <w:marRight w:val="0"/>
          <w:marTop w:val="0"/>
          <w:marBottom w:val="0"/>
          <w:divBdr>
            <w:top w:val="none" w:sz="0" w:space="0" w:color="auto"/>
            <w:left w:val="none" w:sz="0" w:space="0" w:color="auto"/>
            <w:bottom w:val="none" w:sz="0" w:space="0" w:color="auto"/>
            <w:right w:val="none" w:sz="0" w:space="0" w:color="auto"/>
          </w:divBdr>
          <w:divsChild>
            <w:div w:id="1262378061">
              <w:marLeft w:val="0"/>
              <w:marRight w:val="0"/>
              <w:marTop w:val="0"/>
              <w:marBottom w:val="0"/>
              <w:divBdr>
                <w:top w:val="none" w:sz="0" w:space="0" w:color="auto"/>
                <w:left w:val="none" w:sz="0" w:space="0" w:color="auto"/>
                <w:bottom w:val="none" w:sz="0" w:space="0" w:color="auto"/>
                <w:right w:val="none" w:sz="0" w:space="0" w:color="auto"/>
              </w:divBdr>
            </w:div>
            <w:div w:id="1262378063">
              <w:marLeft w:val="0"/>
              <w:marRight w:val="0"/>
              <w:marTop w:val="0"/>
              <w:marBottom w:val="0"/>
              <w:divBdr>
                <w:top w:val="none" w:sz="0" w:space="0" w:color="auto"/>
                <w:left w:val="none" w:sz="0" w:space="0" w:color="auto"/>
                <w:bottom w:val="none" w:sz="0" w:space="0" w:color="auto"/>
                <w:right w:val="none" w:sz="0" w:space="0" w:color="auto"/>
              </w:divBdr>
            </w:div>
            <w:div w:id="12623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69">
      <w:marLeft w:val="0"/>
      <w:marRight w:val="0"/>
      <w:marTop w:val="0"/>
      <w:marBottom w:val="0"/>
      <w:divBdr>
        <w:top w:val="none" w:sz="0" w:space="0" w:color="auto"/>
        <w:left w:val="none" w:sz="0" w:space="0" w:color="auto"/>
        <w:bottom w:val="none" w:sz="0" w:space="0" w:color="auto"/>
        <w:right w:val="none" w:sz="0" w:space="0" w:color="auto"/>
      </w:divBdr>
      <w:divsChild>
        <w:div w:id="1262378079">
          <w:marLeft w:val="0"/>
          <w:marRight w:val="0"/>
          <w:marTop w:val="0"/>
          <w:marBottom w:val="0"/>
          <w:divBdr>
            <w:top w:val="none" w:sz="0" w:space="0" w:color="auto"/>
            <w:left w:val="none" w:sz="0" w:space="0" w:color="auto"/>
            <w:bottom w:val="none" w:sz="0" w:space="0" w:color="auto"/>
            <w:right w:val="none" w:sz="0" w:space="0" w:color="auto"/>
          </w:divBdr>
        </w:div>
        <w:div w:id="1262378085">
          <w:marLeft w:val="0"/>
          <w:marRight w:val="0"/>
          <w:marTop w:val="0"/>
          <w:marBottom w:val="0"/>
          <w:divBdr>
            <w:top w:val="none" w:sz="0" w:space="0" w:color="auto"/>
            <w:left w:val="none" w:sz="0" w:space="0" w:color="auto"/>
            <w:bottom w:val="none" w:sz="0" w:space="0" w:color="auto"/>
            <w:right w:val="none" w:sz="0" w:space="0" w:color="auto"/>
          </w:divBdr>
          <w:divsChild>
            <w:div w:id="126237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71">
      <w:marLeft w:val="0"/>
      <w:marRight w:val="0"/>
      <w:marTop w:val="0"/>
      <w:marBottom w:val="0"/>
      <w:divBdr>
        <w:top w:val="none" w:sz="0" w:space="0" w:color="auto"/>
        <w:left w:val="none" w:sz="0" w:space="0" w:color="auto"/>
        <w:bottom w:val="none" w:sz="0" w:space="0" w:color="auto"/>
        <w:right w:val="none" w:sz="0" w:space="0" w:color="auto"/>
      </w:divBdr>
    </w:div>
    <w:div w:id="1262378073">
      <w:marLeft w:val="0"/>
      <w:marRight w:val="0"/>
      <w:marTop w:val="0"/>
      <w:marBottom w:val="0"/>
      <w:divBdr>
        <w:top w:val="none" w:sz="0" w:space="0" w:color="auto"/>
        <w:left w:val="none" w:sz="0" w:space="0" w:color="auto"/>
        <w:bottom w:val="none" w:sz="0" w:space="0" w:color="auto"/>
        <w:right w:val="none" w:sz="0" w:space="0" w:color="auto"/>
      </w:divBdr>
    </w:div>
    <w:div w:id="1262378074">
      <w:marLeft w:val="0"/>
      <w:marRight w:val="0"/>
      <w:marTop w:val="0"/>
      <w:marBottom w:val="0"/>
      <w:divBdr>
        <w:top w:val="none" w:sz="0" w:space="0" w:color="auto"/>
        <w:left w:val="none" w:sz="0" w:space="0" w:color="auto"/>
        <w:bottom w:val="none" w:sz="0" w:space="0" w:color="auto"/>
        <w:right w:val="none" w:sz="0" w:space="0" w:color="auto"/>
      </w:divBdr>
    </w:div>
    <w:div w:id="1262378075">
      <w:marLeft w:val="0"/>
      <w:marRight w:val="0"/>
      <w:marTop w:val="0"/>
      <w:marBottom w:val="0"/>
      <w:divBdr>
        <w:top w:val="none" w:sz="0" w:space="0" w:color="auto"/>
        <w:left w:val="none" w:sz="0" w:space="0" w:color="auto"/>
        <w:bottom w:val="none" w:sz="0" w:space="0" w:color="auto"/>
        <w:right w:val="none" w:sz="0" w:space="0" w:color="auto"/>
      </w:divBdr>
    </w:div>
    <w:div w:id="1262378080">
      <w:marLeft w:val="0"/>
      <w:marRight w:val="0"/>
      <w:marTop w:val="0"/>
      <w:marBottom w:val="0"/>
      <w:divBdr>
        <w:top w:val="none" w:sz="0" w:space="0" w:color="auto"/>
        <w:left w:val="none" w:sz="0" w:space="0" w:color="auto"/>
        <w:bottom w:val="none" w:sz="0" w:space="0" w:color="auto"/>
        <w:right w:val="none" w:sz="0" w:space="0" w:color="auto"/>
      </w:divBdr>
    </w:div>
    <w:div w:id="1262378086">
      <w:marLeft w:val="0"/>
      <w:marRight w:val="0"/>
      <w:marTop w:val="0"/>
      <w:marBottom w:val="0"/>
      <w:divBdr>
        <w:top w:val="none" w:sz="0" w:space="0" w:color="auto"/>
        <w:left w:val="none" w:sz="0" w:space="0" w:color="auto"/>
        <w:bottom w:val="none" w:sz="0" w:space="0" w:color="auto"/>
        <w:right w:val="none" w:sz="0" w:space="0" w:color="auto"/>
      </w:divBdr>
    </w:div>
    <w:div w:id="1262378087">
      <w:marLeft w:val="0"/>
      <w:marRight w:val="0"/>
      <w:marTop w:val="0"/>
      <w:marBottom w:val="0"/>
      <w:divBdr>
        <w:top w:val="none" w:sz="0" w:space="0" w:color="auto"/>
        <w:left w:val="none" w:sz="0" w:space="0" w:color="auto"/>
        <w:bottom w:val="none" w:sz="0" w:space="0" w:color="auto"/>
        <w:right w:val="none" w:sz="0" w:space="0" w:color="auto"/>
      </w:divBdr>
      <w:divsChild>
        <w:div w:id="1262378070">
          <w:marLeft w:val="0"/>
          <w:marRight w:val="0"/>
          <w:marTop w:val="0"/>
          <w:marBottom w:val="0"/>
          <w:divBdr>
            <w:top w:val="none" w:sz="0" w:space="0" w:color="auto"/>
            <w:left w:val="none" w:sz="0" w:space="0" w:color="auto"/>
            <w:bottom w:val="none" w:sz="0" w:space="0" w:color="auto"/>
            <w:right w:val="none" w:sz="0" w:space="0" w:color="auto"/>
          </w:divBdr>
          <w:divsChild>
            <w:div w:id="1262378078">
              <w:marLeft w:val="0"/>
              <w:marRight w:val="0"/>
              <w:marTop w:val="0"/>
              <w:marBottom w:val="0"/>
              <w:divBdr>
                <w:top w:val="none" w:sz="0" w:space="0" w:color="auto"/>
                <w:left w:val="none" w:sz="0" w:space="0" w:color="auto"/>
                <w:bottom w:val="none" w:sz="0" w:space="0" w:color="auto"/>
                <w:right w:val="none" w:sz="0" w:space="0" w:color="auto"/>
              </w:divBdr>
            </w:div>
          </w:divsChild>
        </w:div>
        <w:div w:id="1262378072">
          <w:marLeft w:val="0"/>
          <w:marRight w:val="0"/>
          <w:marTop w:val="0"/>
          <w:marBottom w:val="0"/>
          <w:divBdr>
            <w:top w:val="none" w:sz="0" w:space="0" w:color="auto"/>
            <w:left w:val="none" w:sz="0" w:space="0" w:color="auto"/>
            <w:bottom w:val="none" w:sz="0" w:space="0" w:color="auto"/>
            <w:right w:val="none" w:sz="0" w:space="0" w:color="auto"/>
          </w:divBdr>
        </w:div>
      </w:divsChild>
    </w:div>
    <w:div w:id="1262378088">
      <w:marLeft w:val="0"/>
      <w:marRight w:val="0"/>
      <w:marTop w:val="0"/>
      <w:marBottom w:val="0"/>
      <w:divBdr>
        <w:top w:val="none" w:sz="0" w:space="0" w:color="auto"/>
        <w:left w:val="none" w:sz="0" w:space="0" w:color="auto"/>
        <w:bottom w:val="none" w:sz="0" w:space="0" w:color="auto"/>
        <w:right w:val="none" w:sz="0" w:space="0" w:color="auto"/>
      </w:divBdr>
    </w:div>
    <w:div w:id="1262378089">
      <w:marLeft w:val="0"/>
      <w:marRight w:val="0"/>
      <w:marTop w:val="0"/>
      <w:marBottom w:val="0"/>
      <w:divBdr>
        <w:top w:val="none" w:sz="0" w:space="0" w:color="auto"/>
        <w:left w:val="none" w:sz="0" w:space="0" w:color="auto"/>
        <w:bottom w:val="none" w:sz="0" w:space="0" w:color="auto"/>
        <w:right w:val="none" w:sz="0" w:space="0" w:color="auto"/>
      </w:divBdr>
      <w:divsChild>
        <w:div w:id="1262378084">
          <w:marLeft w:val="0"/>
          <w:marRight w:val="0"/>
          <w:marTop w:val="0"/>
          <w:marBottom w:val="300"/>
          <w:divBdr>
            <w:top w:val="single" w:sz="2" w:space="0" w:color="D4D4D4"/>
            <w:left w:val="single" w:sz="2" w:space="0" w:color="D4D4D4"/>
            <w:bottom w:val="single" w:sz="6" w:space="0" w:color="D4D4D4"/>
            <w:right w:val="single" w:sz="2" w:space="0" w:color="D4D4D4"/>
          </w:divBdr>
        </w:div>
        <w:div w:id="1262378090">
          <w:marLeft w:val="0"/>
          <w:marRight w:val="0"/>
          <w:marTop w:val="0"/>
          <w:marBottom w:val="0"/>
          <w:divBdr>
            <w:top w:val="none" w:sz="0" w:space="0" w:color="auto"/>
            <w:left w:val="none" w:sz="0" w:space="0" w:color="auto"/>
            <w:bottom w:val="none" w:sz="0" w:space="0" w:color="auto"/>
            <w:right w:val="none" w:sz="0" w:space="0" w:color="auto"/>
          </w:divBdr>
          <w:divsChild>
            <w:div w:id="12623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91">
      <w:marLeft w:val="0"/>
      <w:marRight w:val="0"/>
      <w:marTop w:val="0"/>
      <w:marBottom w:val="0"/>
      <w:divBdr>
        <w:top w:val="none" w:sz="0" w:space="0" w:color="auto"/>
        <w:left w:val="none" w:sz="0" w:space="0" w:color="auto"/>
        <w:bottom w:val="none" w:sz="0" w:space="0" w:color="auto"/>
        <w:right w:val="none" w:sz="0" w:space="0" w:color="auto"/>
      </w:divBdr>
      <w:divsChild>
        <w:div w:id="1262378081">
          <w:marLeft w:val="0"/>
          <w:marRight w:val="0"/>
          <w:marTop w:val="0"/>
          <w:marBottom w:val="250"/>
          <w:divBdr>
            <w:top w:val="single" w:sz="2" w:space="0" w:color="D4D4D4"/>
            <w:left w:val="single" w:sz="2" w:space="0" w:color="D4D4D4"/>
            <w:bottom w:val="single" w:sz="4" w:space="0" w:color="D4D4D4"/>
            <w:right w:val="single" w:sz="2" w:space="0" w:color="D4D4D4"/>
          </w:divBdr>
        </w:div>
        <w:div w:id="1262378082">
          <w:marLeft w:val="0"/>
          <w:marRight w:val="0"/>
          <w:marTop w:val="0"/>
          <w:marBottom w:val="0"/>
          <w:divBdr>
            <w:top w:val="none" w:sz="0" w:space="0" w:color="auto"/>
            <w:left w:val="none" w:sz="0" w:space="0" w:color="auto"/>
            <w:bottom w:val="none" w:sz="0" w:space="0" w:color="auto"/>
            <w:right w:val="none" w:sz="0" w:space="0" w:color="auto"/>
          </w:divBdr>
          <w:divsChild>
            <w:div w:id="12623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8092">
      <w:marLeft w:val="0"/>
      <w:marRight w:val="0"/>
      <w:marTop w:val="0"/>
      <w:marBottom w:val="0"/>
      <w:divBdr>
        <w:top w:val="none" w:sz="0" w:space="0" w:color="auto"/>
        <w:left w:val="none" w:sz="0" w:space="0" w:color="auto"/>
        <w:bottom w:val="none" w:sz="0" w:space="0" w:color="auto"/>
        <w:right w:val="none" w:sz="0" w:space="0" w:color="auto"/>
      </w:divBdr>
    </w:div>
    <w:div w:id="133067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uvernement.fr/action/reforme-de-la-justice" TargetMode="External"/><Relationship Id="rId5" Type="http://schemas.openxmlformats.org/officeDocument/2006/relationships/webSettings" Target="webSettings.xml"/><Relationship Id="rId10" Type="http://schemas.openxmlformats.org/officeDocument/2006/relationships/hyperlink" Target="http://www.justice.gouv.fr/la-garde-des-sceaux-10016/la-reforme-de-la-justice-entre-en-vigueur-32242.html" TargetMode="External"/><Relationship Id="rId4" Type="http://schemas.openxmlformats.org/officeDocument/2006/relationships/settings" Target="settings.xml"/><Relationship Id="rId9" Type="http://schemas.openxmlformats.org/officeDocument/2006/relationships/hyperlink" Target="https://www.banquedesterritoires.fr/reforme-de-la-justice-le-calendrier-de-la-mise-en-oeuvr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telier-graphit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A5C43-297C-40C6-A5DE-70B1FBD4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809</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5249</CharactersWithSpaces>
  <SharedDoc>false</SharedDoc>
  <HLinks>
    <vt:vector size="120" baseType="variant">
      <vt:variant>
        <vt:i4>1245241</vt:i4>
      </vt:variant>
      <vt:variant>
        <vt:i4>104</vt:i4>
      </vt:variant>
      <vt:variant>
        <vt:i4>0</vt:i4>
      </vt:variant>
      <vt:variant>
        <vt:i4>5</vt:i4>
      </vt:variant>
      <vt:variant>
        <vt:lpwstr/>
      </vt:variant>
      <vt:variant>
        <vt:lpwstr>_Toc349119286</vt:lpwstr>
      </vt:variant>
      <vt:variant>
        <vt:i4>1245241</vt:i4>
      </vt:variant>
      <vt:variant>
        <vt:i4>98</vt:i4>
      </vt:variant>
      <vt:variant>
        <vt:i4>0</vt:i4>
      </vt:variant>
      <vt:variant>
        <vt:i4>5</vt:i4>
      </vt:variant>
      <vt:variant>
        <vt:lpwstr/>
      </vt:variant>
      <vt:variant>
        <vt:lpwstr>_Toc349119285</vt:lpwstr>
      </vt:variant>
      <vt:variant>
        <vt:i4>1245241</vt:i4>
      </vt:variant>
      <vt:variant>
        <vt:i4>92</vt:i4>
      </vt:variant>
      <vt:variant>
        <vt:i4>0</vt:i4>
      </vt:variant>
      <vt:variant>
        <vt:i4>5</vt:i4>
      </vt:variant>
      <vt:variant>
        <vt:lpwstr/>
      </vt:variant>
      <vt:variant>
        <vt:lpwstr>_Toc349119284</vt:lpwstr>
      </vt:variant>
      <vt:variant>
        <vt:i4>1245241</vt:i4>
      </vt:variant>
      <vt:variant>
        <vt:i4>86</vt:i4>
      </vt:variant>
      <vt:variant>
        <vt:i4>0</vt:i4>
      </vt:variant>
      <vt:variant>
        <vt:i4>5</vt:i4>
      </vt:variant>
      <vt:variant>
        <vt:lpwstr/>
      </vt:variant>
      <vt:variant>
        <vt:lpwstr>_Toc349119283</vt:lpwstr>
      </vt:variant>
      <vt:variant>
        <vt:i4>1245241</vt:i4>
      </vt:variant>
      <vt:variant>
        <vt:i4>80</vt:i4>
      </vt:variant>
      <vt:variant>
        <vt:i4>0</vt:i4>
      </vt:variant>
      <vt:variant>
        <vt:i4>5</vt:i4>
      </vt:variant>
      <vt:variant>
        <vt:lpwstr/>
      </vt:variant>
      <vt:variant>
        <vt:lpwstr>_Toc349119282</vt:lpwstr>
      </vt:variant>
      <vt:variant>
        <vt:i4>1245241</vt:i4>
      </vt:variant>
      <vt:variant>
        <vt:i4>74</vt:i4>
      </vt:variant>
      <vt:variant>
        <vt:i4>0</vt:i4>
      </vt:variant>
      <vt:variant>
        <vt:i4>5</vt:i4>
      </vt:variant>
      <vt:variant>
        <vt:lpwstr/>
      </vt:variant>
      <vt:variant>
        <vt:lpwstr>_Toc349119281</vt:lpwstr>
      </vt:variant>
      <vt:variant>
        <vt:i4>1245241</vt:i4>
      </vt:variant>
      <vt:variant>
        <vt:i4>68</vt:i4>
      </vt:variant>
      <vt:variant>
        <vt:i4>0</vt:i4>
      </vt:variant>
      <vt:variant>
        <vt:i4>5</vt:i4>
      </vt:variant>
      <vt:variant>
        <vt:lpwstr/>
      </vt:variant>
      <vt:variant>
        <vt:lpwstr>_Toc349119280</vt:lpwstr>
      </vt:variant>
      <vt:variant>
        <vt:i4>1835065</vt:i4>
      </vt:variant>
      <vt:variant>
        <vt:i4>62</vt:i4>
      </vt:variant>
      <vt:variant>
        <vt:i4>0</vt:i4>
      </vt:variant>
      <vt:variant>
        <vt:i4>5</vt:i4>
      </vt:variant>
      <vt:variant>
        <vt:lpwstr/>
      </vt:variant>
      <vt:variant>
        <vt:lpwstr>_Toc349119279</vt:lpwstr>
      </vt:variant>
      <vt:variant>
        <vt:i4>1835065</vt:i4>
      </vt:variant>
      <vt:variant>
        <vt:i4>56</vt:i4>
      </vt:variant>
      <vt:variant>
        <vt:i4>0</vt:i4>
      </vt:variant>
      <vt:variant>
        <vt:i4>5</vt:i4>
      </vt:variant>
      <vt:variant>
        <vt:lpwstr/>
      </vt:variant>
      <vt:variant>
        <vt:lpwstr>_Toc349119278</vt:lpwstr>
      </vt:variant>
      <vt:variant>
        <vt:i4>1835065</vt:i4>
      </vt:variant>
      <vt:variant>
        <vt:i4>50</vt:i4>
      </vt:variant>
      <vt:variant>
        <vt:i4>0</vt:i4>
      </vt:variant>
      <vt:variant>
        <vt:i4>5</vt:i4>
      </vt:variant>
      <vt:variant>
        <vt:lpwstr/>
      </vt:variant>
      <vt:variant>
        <vt:lpwstr>_Toc349119277</vt:lpwstr>
      </vt:variant>
      <vt:variant>
        <vt:i4>1835065</vt:i4>
      </vt:variant>
      <vt:variant>
        <vt:i4>44</vt:i4>
      </vt:variant>
      <vt:variant>
        <vt:i4>0</vt:i4>
      </vt:variant>
      <vt:variant>
        <vt:i4>5</vt:i4>
      </vt:variant>
      <vt:variant>
        <vt:lpwstr/>
      </vt:variant>
      <vt:variant>
        <vt:lpwstr>_Toc349119276</vt:lpwstr>
      </vt:variant>
      <vt:variant>
        <vt:i4>1835065</vt:i4>
      </vt:variant>
      <vt:variant>
        <vt:i4>38</vt:i4>
      </vt:variant>
      <vt:variant>
        <vt:i4>0</vt:i4>
      </vt:variant>
      <vt:variant>
        <vt:i4>5</vt:i4>
      </vt:variant>
      <vt:variant>
        <vt:lpwstr/>
      </vt:variant>
      <vt:variant>
        <vt:lpwstr>_Toc349119275</vt:lpwstr>
      </vt:variant>
      <vt:variant>
        <vt:i4>1835065</vt:i4>
      </vt:variant>
      <vt:variant>
        <vt:i4>32</vt:i4>
      </vt:variant>
      <vt:variant>
        <vt:i4>0</vt:i4>
      </vt:variant>
      <vt:variant>
        <vt:i4>5</vt:i4>
      </vt:variant>
      <vt:variant>
        <vt:lpwstr/>
      </vt:variant>
      <vt:variant>
        <vt:lpwstr>_Toc349119274</vt:lpwstr>
      </vt:variant>
      <vt:variant>
        <vt:i4>1835065</vt:i4>
      </vt:variant>
      <vt:variant>
        <vt:i4>26</vt:i4>
      </vt:variant>
      <vt:variant>
        <vt:i4>0</vt:i4>
      </vt:variant>
      <vt:variant>
        <vt:i4>5</vt:i4>
      </vt:variant>
      <vt:variant>
        <vt:lpwstr/>
      </vt:variant>
      <vt:variant>
        <vt:lpwstr>_Toc349119273</vt:lpwstr>
      </vt:variant>
      <vt:variant>
        <vt:i4>1835065</vt:i4>
      </vt:variant>
      <vt:variant>
        <vt:i4>20</vt:i4>
      </vt:variant>
      <vt:variant>
        <vt:i4>0</vt:i4>
      </vt:variant>
      <vt:variant>
        <vt:i4>5</vt:i4>
      </vt:variant>
      <vt:variant>
        <vt:lpwstr/>
      </vt:variant>
      <vt:variant>
        <vt:lpwstr>_Toc349119272</vt:lpwstr>
      </vt:variant>
      <vt:variant>
        <vt:i4>1835065</vt:i4>
      </vt:variant>
      <vt:variant>
        <vt:i4>14</vt:i4>
      </vt:variant>
      <vt:variant>
        <vt:i4>0</vt:i4>
      </vt:variant>
      <vt:variant>
        <vt:i4>5</vt:i4>
      </vt:variant>
      <vt:variant>
        <vt:lpwstr/>
      </vt:variant>
      <vt:variant>
        <vt:lpwstr>_Toc349119271</vt:lpwstr>
      </vt:variant>
      <vt:variant>
        <vt:i4>1835065</vt:i4>
      </vt:variant>
      <vt:variant>
        <vt:i4>8</vt:i4>
      </vt:variant>
      <vt:variant>
        <vt:i4>0</vt:i4>
      </vt:variant>
      <vt:variant>
        <vt:i4>5</vt:i4>
      </vt:variant>
      <vt:variant>
        <vt:lpwstr/>
      </vt:variant>
      <vt:variant>
        <vt:lpwstr>_Toc349119270</vt:lpwstr>
      </vt:variant>
      <vt:variant>
        <vt:i4>1900601</vt:i4>
      </vt:variant>
      <vt:variant>
        <vt:i4>2</vt:i4>
      </vt:variant>
      <vt:variant>
        <vt:i4>0</vt:i4>
      </vt:variant>
      <vt:variant>
        <vt:i4>5</vt:i4>
      </vt:variant>
      <vt:variant>
        <vt:lpwstr/>
      </vt:variant>
      <vt:variant>
        <vt:lpwstr>_Toc349119269</vt:lpwstr>
      </vt:variant>
      <vt:variant>
        <vt:i4>4456479</vt:i4>
      </vt:variant>
      <vt:variant>
        <vt:i4>0</vt:i4>
      </vt:variant>
      <vt:variant>
        <vt:i4>0</vt:i4>
      </vt:variant>
      <vt:variant>
        <vt:i4>5</vt:i4>
      </vt:variant>
      <vt:variant>
        <vt:lpwstr>http://fr.wikipedia.org/wiki/Principe_de_subsidiarit%C3%A9</vt:lpwstr>
      </vt:variant>
      <vt:variant>
        <vt:lpwstr/>
      </vt:variant>
      <vt:variant>
        <vt:i4>7471208</vt:i4>
      </vt:variant>
      <vt:variant>
        <vt:i4>0</vt:i4>
      </vt:variant>
      <vt:variant>
        <vt:i4>0</vt:i4>
      </vt:variant>
      <vt:variant>
        <vt:i4>5</vt:i4>
      </vt:variant>
      <vt:variant>
        <vt:lpwstr>http://www.atelier-graphite.fr/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atelier graphite</dc:creator>
  <cp:lastModifiedBy>Atelier Graphite</cp:lastModifiedBy>
  <cp:revision>2</cp:revision>
  <dcterms:created xsi:type="dcterms:W3CDTF">2019-07-25T13:50:00Z</dcterms:created>
  <dcterms:modified xsi:type="dcterms:W3CDTF">2019-07-25T13:50:00Z</dcterms:modified>
</cp:coreProperties>
</file>