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29" w:rsidRDefault="00824ADB" w:rsidP="006B4DA8">
      <w:pPr>
        <w:pStyle w:val="titre10"/>
      </w:pPr>
      <w:r>
        <w:t xml:space="preserve">La </w:t>
      </w:r>
      <w:r w:rsidR="00AA39DD">
        <w:t>Prescription des dettes</w:t>
      </w:r>
    </w:p>
    <w:p w:rsidR="006B4DA8" w:rsidRDefault="006B4DA8" w:rsidP="00C23465">
      <w:pPr>
        <w:rPr>
          <w:rFonts w:asciiTheme="minorHAnsi" w:hAnsiTheme="minorHAnsi"/>
        </w:rPr>
      </w:pPr>
    </w:p>
    <w:p w:rsidR="006B4DA8" w:rsidRDefault="002A6240" w:rsidP="006B4DA8">
      <w:pPr>
        <w:pStyle w:val="Titre2"/>
      </w:pPr>
      <w:r>
        <w:t>Quand un délai s’est écoulé la somme due ne peut plus être réclamée</w:t>
      </w:r>
    </w:p>
    <w:p w:rsidR="002A6240" w:rsidRPr="002A6240" w:rsidRDefault="002A6240" w:rsidP="002A6240"/>
    <w:p w:rsidR="005A55D0" w:rsidRDefault="005A55D0" w:rsidP="005A55D0">
      <w:r w:rsidRPr="006D5D39">
        <w:rPr>
          <w:b/>
        </w:rPr>
        <w:t>La prescription est un mode d'extinction d'un droit résultant de l'inaction de son titulaire pendant un certain laps de temps</w:t>
      </w:r>
      <w:r>
        <w:t xml:space="preserve">. </w:t>
      </w:r>
      <w:r w:rsidR="00824ADB">
        <w:t>Le créancier (celui auquel on doit de l’argent) ne pourra plus en réclamer le paiement. On dit alors que</w:t>
      </w:r>
      <w:r w:rsidRPr="00BC13B2">
        <w:t xml:space="preserve"> la créance est prescrite</w:t>
      </w:r>
      <w:r w:rsidR="002A6240">
        <w:t>, cela veut dire que la somme n’est plus due.</w:t>
      </w:r>
    </w:p>
    <w:p w:rsidR="001C57E6" w:rsidRDefault="001C57E6" w:rsidP="005A55D0"/>
    <w:p w:rsidR="005A55D0" w:rsidRPr="00824ADB" w:rsidRDefault="005A55D0" w:rsidP="00C23465">
      <w:pPr>
        <w:rPr>
          <w:bCs/>
        </w:rPr>
      </w:pPr>
      <w:r w:rsidRPr="00F24674">
        <w:rPr>
          <w:rStyle w:val="lev"/>
          <w:b w:val="0"/>
        </w:rPr>
        <w:t>La</w:t>
      </w:r>
      <w:r>
        <w:rPr>
          <w:rStyle w:val="lev"/>
        </w:rPr>
        <w:t xml:space="preserve"> loi n° 2008-561 du 17 juin 2008 </w:t>
      </w:r>
      <w:r w:rsidRPr="00F24674">
        <w:rPr>
          <w:rStyle w:val="lev"/>
          <w:b w:val="0"/>
        </w:rPr>
        <w:t xml:space="preserve">réforme la prescription en matière civile. </w:t>
      </w:r>
      <w:r>
        <w:rPr>
          <w:rStyle w:val="lev"/>
          <w:b w:val="0"/>
        </w:rPr>
        <w:t>Ci-dessous se trouve un</w:t>
      </w:r>
      <w:r w:rsidR="00D51114">
        <w:rPr>
          <w:rStyle w:val="lev"/>
          <w:b w:val="0"/>
        </w:rPr>
        <w:t xml:space="preserve"> récapitulatif des différentes </w:t>
      </w:r>
      <w:r w:rsidRPr="00F24674">
        <w:rPr>
          <w:rStyle w:val="lev"/>
          <w:b w:val="0"/>
        </w:rPr>
        <w:t xml:space="preserve">prescriptions par type de dettes. </w:t>
      </w:r>
    </w:p>
    <w:p w:rsidR="005A55D0" w:rsidRDefault="005A55D0" w:rsidP="005A55D0">
      <w:pPr>
        <w:pStyle w:val="Titre2"/>
      </w:pPr>
      <w:r>
        <w:t>Pour faire valoir une prescription</w:t>
      </w:r>
    </w:p>
    <w:p w:rsidR="001C57E6" w:rsidRPr="001C57E6" w:rsidRDefault="001C57E6" w:rsidP="001C57E6"/>
    <w:p w:rsidR="005A55D0" w:rsidRDefault="005A55D0" w:rsidP="00C23465">
      <w:r>
        <w:t>Il est important de comprendre le point de départ du délai de prescription</w:t>
      </w:r>
      <w:r w:rsidR="003F0168">
        <w:t> : l</w:t>
      </w:r>
      <w:r w:rsidR="00D51114">
        <w:t xml:space="preserve">e délai </w:t>
      </w:r>
      <w:r w:rsidR="00F12ECD">
        <w:t xml:space="preserve">commence le </w:t>
      </w:r>
      <w:r w:rsidR="00D51114">
        <w:t xml:space="preserve">lendemain du jour où vous deviez </w:t>
      </w:r>
      <w:r w:rsidR="0095257E">
        <w:t>payer</w:t>
      </w:r>
      <w:r w:rsidR="00D51114">
        <w:t xml:space="preserve"> cette somme.</w:t>
      </w:r>
    </w:p>
    <w:p w:rsidR="0096012F" w:rsidRDefault="0096012F" w:rsidP="00C23465"/>
    <w:p w:rsidR="00897197" w:rsidRDefault="00D51114" w:rsidP="00C23465">
      <w:r>
        <w:t>Si une dette prescrite vous est réclamée</w:t>
      </w:r>
      <w:r w:rsidR="005A55D0">
        <w:t>, il faut prendre contact avec</w:t>
      </w:r>
      <w:r w:rsidR="00897197">
        <w:t xml:space="preserve"> le créancier</w:t>
      </w:r>
      <w:r w:rsidR="0095257E">
        <w:t xml:space="preserve"> et lui dire que vous ne lui devez plus rien. </w:t>
      </w:r>
    </w:p>
    <w:p w:rsidR="0096012F" w:rsidRDefault="0096012F" w:rsidP="00C23465"/>
    <w:p w:rsidR="0096012F" w:rsidRDefault="0096012F" w:rsidP="00C23465">
      <w:r>
        <w:t xml:space="preserve">Dans certaines situations, </w:t>
      </w:r>
      <w:r w:rsidRPr="006D5D39">
        <w:rPr>
          <w:b/>
        </w:rPr>
        <w:t>le délai de prescription peut être</w:t>
      </w:r>
      <w:r>
        <w:t xml:space="preserve"> soit : </w:t>
      </w:r>
    </w:p>
    <w:p w:rsidR="0096012F" w:rsidRDefault="0096012F" w:rsidP="00C23465"/>
    <w:p w:rsidR="0096012F" w:rsidRDefault="0096012F" w:rsidP="0096012F">
      <w:pPr>
        <w:pStyle w:val="Paragraphedeliste"/>
        <w:numPr>
          <w:ilvl w:val="0"/>
          <w:numId w:val="19"/>
        </w:numPr>
      </w:pPr>
      <w:r w:rsidRPr="006D5D39">
        <w:rPr>
          <w:b/>
        </w:rPr>
        <w:t>Interrompu</w:t>
      </w:r>
      <w:r>
        <w:t xml:space="preserve"> : un nouveau délai </w:t>
      </w:r>
      <w:r w:rsidR="006D5D39">
        <w:t>re</w:t>
      </w:r>
      <w:r>
        <w:t>commence à courir à partir de l’acte interruptif. Par exemples :</w:t>
      </w:r>
    </w:p>
    <w:p w:rsidR="0096012F" w:rsidRDefault="0096012F" w:rsidP="0096012F">
      <w:pPr>
        <w:pStyle w:val="Paragraphedeliste"/>
        <w:numPr>
          <w:ilvl w:val="0"/>
          <w:numId w:val="20"/>
        </w:numPr>
      </w:pPr>
      <w:r>
        <w:t>S</w:t>
      </w:r>
      <w:r w:rsidR="00481E4B">
        <w:t>i le créanc</w:t>
      </w:r>
      <w:r w:rsidR="0095257E">
        <w:t>i</w:t>
      </w:r>
      <w:r w:rsidR="00481E4B">
        <w:t>e</w:t>
      </w:r>
      <w:r w:rsidR="0095257E">
        <w:t>r</w:t>
      </w:r>
      <w:r w:rsidR="00FD451A">
        <w:t xml:space="preserve"> </w:t>
      </w:r>
      <w:r w:rsidR="00481E4B">
        <w:t>saisit une juridiction pour vous obliger à payer la dette, le délai de prescription est interrompu.</w:t>
      </w:r>
      <w:r>
        <w:t xml:space="preserve"> </w:t>
      </w:r>
    </w:p>
    <w:p w:rsidR="0096012F" w:rsidRDefault="006D5D39" w:rsidP="0096012F">
      <w:pPr>
        <w:pStyle w:val="Paragraphedeliste"/>
        <w:numPr>
          <w:ilvl w:val="0"/>
          <w:numId w:val="20"/>
        </w:numPr>
      </w:pPr>
      <w:r>
        <w:t>S</w:t>
      </w:r>
      <w:r w:rsidR="0096012F" w:rsidRPr="0096012F">
        <w:t xml:space="preserve">i vous demandez une remise ou un étalement de votre dette, cela interrompt le délai de prescription. </w:t>
      </w:r>
    </w:p>
    <w:p w:rsidR="0096012F" w:rsidRDefault="0096012F" w:rsidP="0096012F">
      <w:pPr>
        <w:pStyle w:val="Paragraphedeliste"/>
        <w:ind w:left="1440" w:firstLine="0"/>
      </w:pPr>
    </w:p>
    <w:p w:rsidR="00897197" w:rsidRDefault="006D5D39" w:rsidP="0096012F">
      <w:pPr>
        <w:ind w:firstLine="360"/>
      </w:pPr>
      <w:r>
        <w:t>Dans c</w:t>
      </w:r>
      <w:r w:rsidR="0096012F">
        <w:t>es deux exemples, cela signifie</w:t>
      </w:r>
      <w:r w:rsidR="0096012F" w:rsidRPr="0096012F">
        <w:t xml:space="preserve"> que vous continuez de devoir la somme réclamée</w:t>
      </w:r>
      <w:r w:rsidR="0096012F">
        <w:t>.</w:t>
      </w:r>
    </w:p>
    <w:p w:rsidR="0096012F" w:rsidRDefault="0096012F" w:rsidP="0096012F">
      <w:pPr>
        <w:pStyle w:val="Paragraphedeliste"/>
        <w:ind w:firstLine="0"/>
      </w:pPr>
    </w:p>
    <w:p w:rsidR="00D51114" w:rsidRDefault="0096012F" w:rsidP="00C23465">
      <w:pPr>
        <w:pStyle w:val="Paragraphedeliste"/>
        <w:numPr>
          <w:ilvl w:val="0"/>
          <w:numId w:val="19"/>
        </w:numPr>
      </w:pPr>
      <w:r w:rsidRPr="006D5D39">
        <w:rPr>
          <w:b/>
        </w:rPr>
        <w:t>Suspendu</w:t>
      </w:r>
      <w:r>
        <w:t xml:space="preserve"> : </w:t>
      </w:r>
      <w:r>
        <w:rPr>
          <w:color w:val="000000"/>
        </w:rPr>
        <w:t xml:space="preserve">la suspension du délai de prescription en arrête temporairement le cours sans effacer le délai déjà couru. </w:t>
      </w:r>
      <w:bookmarkStart w:id="0" w:name="_GoBack"/>
      <w:bookmarkEnd w:id="0"/>
      <w:r w:rsidR="006D5D39">
        <w:rPr>
          <w:color w:val="000000"/>
        </w:rPr>
        <w:t xml:space="preserve">Par exemple, </w:t>
      </w:r>
      <w:r w:rsidR="00481E4B" w:rsidRPr="00313AD2">
        <w:t>une procédure de</w:t>
      </w:r>
      <w:r w:rsidR="00A979E9" w:rsidRPr="00313AD2">
        <w:t xml:space="preserve">vant un </w:t>
      </w:r>
      <w:r w:rsidR="006D5D39">
        <w:t xml:space="preserve">médiateur ou un </w:t>
      </w:r>
      <w:r w:rsidR="00A979E9" w:rsidRPr="00313AD2">
        <w:t xml:space="preserve">conciliateur suspend </w:t>
      </w:r>
      <w:r w:rsidR="00481E4B" w:rsidRPr="00313AD2">
        <w:t>ce délai. L</w:t>
      </w:r>
      <w:r w:rsidR="000E330F" w:rsidRPr="00313AD2">
        <w:t>a fin d’un tel évènement peut</w:t>
      </w:r>
      <w:r w:rsidR="00A979E9" w:rsidRPr="00313AD2">
        <w:t xml:space="preserve"> entrainer une reprise de ce même délai, avec un minimum de 6 mois.</w:t>
      </w:r>
      <w:r w:rsidR="006D5D39">
        <w:t xml:space="preserve"> </w:t>
      </w:r>
    </w:p>
    <w:p w:rsidR="0016345D" w:rsidRDefault="0016345D" w:rsidP="00A979E9"/>
    <w:p w:rsidR="00A979E9" w:rsidRPr="006D5D39" w:rsidRDefault="00481E4B" w:rsidP="00A979E9">
      <w:r w:rsidRPr="006D5D39">
        <w:rPr>
          <w:b/>
        </w:rPr>
        <w:t>Attention</w:t>
      </w:r>
      <w:r w:rsidRPr="006D5D39">
        <w:t>, une lettre recommandée avec accusé</w:t>
      </w:r>
      <w:r w:rsidR="0016345D" w:rsidRPr="006D5D39">
        <w:t xml:space="preserve"> de réception n’a pas d’incidence sur le délai concernant des dettes envers des entreprises privées.</w:t>
      </w:r>
    </w:p>
    <w:p w:rsidR="00A979E9" w:rsidRPr="006D5D39" w:rsidRDefault="0016345D" w:rsidP="00A979E9">
      <w:r w:rsidRPr="006D5D39">
        <w:t>Les dettes au Trésor Public ont cette différence que les commandements de payer émis par lettre simple suffisent à interrompre le délai de prescription.</w:t>
      </w:r>
    </w:p>
    <w:p w:rsidR="00313AD2" w:rsidRDefault="00313AD2">
      <w:pPr>
        <w:spacing w:line="240" w:lineRule="auto"/>
        <w:jc w:val="left"/>
      </w:pPr>
    </w:p>
    <w:p w:rsidR="00313AD2" w:rsidRDefault="00313AD2" w:rsidP="00313AD2">
      <w:pPr>
        <w:rPr>
          <w:rStyle w:val="Lienhypertexte"/>
          <w:rFonts w:asciiTheme="minorHAnsi" w:hAnsiTheme="minorHAnsi"/>
          <w:i/>
        </w:rPr>
      </w:pPr>
      <w:r w:rsidRPr="006B4DA8">
        <w:rPr>
          <w:rFonts w:asciiTheme="minorHAnsi" w:hAnsiTheme="minorHAnsi"/>
          <w:i/>
        </w:rPr>
        <w:t>Sources</w:t>
      </w:r>
      <w:r>
        <w:rPr>
          <w:rFonts w:asciiTheme="minorHAnsi" w:hAnsiTheme="minorHAnsi"/>
          <w:i/>
        </w:rPr>
        <w:t> :</w:t>
      </w:r>
    </w:p>
    <w:p w:rsidR="00313AD2" w:rsidRDefault="005A2016" w:rsidP="00313AD2">
      <w:pPr>
        <w:rPr>
          <w:rStyle w:val="Lienhypertexte"/>
        </w:rPr>
      </w:pPr>
      <w:hyperlink r:id="rId8" w:history="1">
        <w:r w:rsidR="00313AD2" w:rsidRPr="006B3C0E">
          <w:rPr>
            <w:rStyle w:val="Lienhypertexte"/>
          </w:rPr>
          <w:t>www.legifrance.gouv.fr/affichTexte.do?cidTexte=JORFTEXT000019013696</w:t>
        </w:r>
      </w:hyperlink>
    </w:p>
    <w:p w:rsidR="00313AD2" w:rsidRDefault="005A2016" w:rsidP="00313AD2">
      <w:pPr>
        <w:rPr>
          <w:rFonts w:asciiTheme="minorHAnsi" w:hAnsiTheme="minorHAnsi"/>
          <w:i/>
        </w:rPr>
      </w:pPr>
      <w:hyperlink r:id="rId9" w:history="1">
        <w:r w:rsidR="00313AD2" w:rsidRPr="00DD3D25">
          <w:rPr>
            <w:rStyle w:val="Lienhypertexte"/>
            <w:rFonts w:asciiTheme="minorHAnsi" w:hAnsiTheme="minorHAnsi"/>
            <w:i/>
          </w:rPr>
          <w:t>www.cidj.com</w:t>
        </w:r>
      </w:hyperlink>
    </w:p>
    <w:p w:rsidR="00313AD2" w:rsidRDefault="005A2016" w:rsidP="00313AD2">
      <w:pPr>
        <w:rPr>
          <w:rFonts w:asciiTheme="minorHAnsi" w:hAnsiTheme="minorHAnsi"/>
          <w:i/>
        </w:rPr>
      </w:pPr>
      <w:hyperlink r:id="rId10" w:history="1">
        <w:r w:rsidR="00313AD2" w:rsidRPr="00906C4E">
          <w:rPr>
            <w:rStyle w:val="Lienhypertexte"/>
            <w:rFonts w:asciiTheme="minorHAnsi" w:hAnsiTheme="minorHAnsi"/>
            <w:i/>
          </w:rPr>
          <w:t>www.economie.gouv.fr/dgccrf/Publications/Vie-pratique/Fiches-pratiques/Delais-de-prescription</w:t>
        </w:r>
      </w:hyperlink>
    </w:p>
    <w:p w:rsidR="003F0168" w:rsidRDefault="003F0168">
      <w:pPr>
        <w:spacing w:line="240" w:lineRule="auto"/>
        <w:jc w:val="left"/>
      </w:pPr>
      <w:r>
        <w:br w:type="page"/>
      </w:r>
    </w:p>
    <w:p w:rsidR="006B4DA8" w:rsidRDefault="003F0168" w:rsidP="002A6240">
      <w:pPr>
        <w:pStyle w:val="Titre2"/>
      </w:pPr>
      <w:r>
        <w:lastRenderedPageBreak/>
        <w:t>Tableau</w:t>
      </w:r>
      <w:r w:rsidR="0096012F">
        <w:t xml:space="preserve"> </w:t>
      </w:r>
      <w:r>
        <w:t xml:space="preserve">récapitulatif </w:t>
      </w:r>
      <w:r w:rsidR="00AA39DD">
        <w:t>selon les types de dettes</w:t>
      </w:r>
    </w:p>
    <w:p w:rsidR="0096012F" w:rsidRPr="0096012F" w:rsidRDefault="0096012F" w:rsidP="0096012F"/>
    <w:p w:rsidR="00A40C1D" w:rsidRDefault="003F0168" w:rsidP="00AA39DD">
      <w:r w:rsidRPr="0096012F">
        <w:rPr>
          <w:i/>
          <w:u w:val="single"/>
        </w:rPr>
        <w:t>Rappel </w:t>
      </w:r>
      <w:r>
        <w:t xml:space="preserve">: </w:t>
      </w:r>
      <w:r w:rsidR="00313AD2">
        <w:t>Je dois de l’argent. Quel est le délai après lequel je ne dois plus cette somme qui ne m’a pas été réclamée?</w:t>
      </w:r>
    </w:p>
    <w:tbl>
      <w:tblPr>
        <w:tblStyle w:val="Grilledutableau"/>
        <w:tblW w:w="9776" w:type="dxa"/>
        <w:tblLook w:val="04A0"/>
      </w:tblPr>
      <w:tblGrid>
        <w:gridCol w:w="6941"/>
        <w:gridCol w:w="2835"/>
      </w:tblGrid>
      <w:tr w:rsidR="003C10F5" w:rsidTr="00F365D1">
        <w:trPr>
          <w:trHeight w:val="505"/>
        </w:trPr>
        <w:tc>
          <w:tcPr>
            <w:tcW w:w="6941" w:type="dxa"/>
            <w:vAlign w:val="center"/>
          </w:tcPr>
          <w:p w:rsidR="00ED6C5E" w:rsidRPr="008F7F37" w:rsidRDefault="003C10F5" w:rsidP="00ED6C5E">
            <w:pPr>
              <w:ind w:right="-108"/>
              <w:jc w:val="center"/>
              <w:rPr>
                <w:b/>
                <w:color w:val="E36C0A" w:themeColor="accent6" w:themeShade="BF"/>
              </w:rPr>
            </w:pPr>
            <w:r w:rsidRPr="008F7F37">
              <w:rPr>
                <w:b/>
                <w:color w:val="E36C0A" w:themeColor="accent6" w:themeShade="BF"/>
              </w:rPr>
              <w:t>TYPE DE DETTE</w:t>
            </w:r>
          </w:p>
        </w:tc>
        <w:tc>
          <w:tcPr>
            <w:tcW w:w="2835" w:type="dxa"/>
            <w:vAlign w:val="center"/>
          </w:tcPr>
          <w:p w:rsidR="00ED6C5E" w:rsidRPr="008F7F37" w:rsidRDefault="003C10F5" w:rsidP="00ED6C5E">
            <w:pPr>
              <w:jc w:val="center"/>
              <w:rPr>
                <w:b/>
                <w:caps/>
                <w:color w:val="E36C0A" w:themeColor="accent6" w:themeShade="BF"/>
              </w:rPr>
            </w:pPr>
            <w:r w:rsidRPr="008F7F37">
              <w:rPr>
                <w:b/>
                <w:caps/>
                <w:color w:val="E36C0A" w:themeColor="accent6" w:themeShade="BF"/>
              </w:rPr>
              <w:t>DÉLAI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3C10F5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Délai général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5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3C10F5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Vendeur professionnel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2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3C10F5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Prestataire de services (auto-école, esthéticienne, salle de sport…)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2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3C10F5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Vendeur particulier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5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3C10F5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Demande de remboursement ou de paiement pour le service fourni par les opérateurs de téléphonie mobile et d’internet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1 an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3C10F5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Opérateurs de téléphonie mobile et d’internet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5 ans pour le consommateur</w:t>
            </w:r>
          </w:p>
          <w:p w:rsidR="007D2960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2 ans pour le professionnel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3C10F5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Assurances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2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F365D1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Contrat de bail : charges, loyer</w:t>
            </w:r>
          </w:p>
        </w:tc>
        <w:tc>
          <w:tcPr>
            <w:tcW w:w="2835" w:type="dxa"/>
            <w:vAlign w:val="center"/>
          </w:tcPr>
          <w:p w:rsidR="003C10F5" w:rsidRPr="008F7F37" w:rsidRDefault="00F365D1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7D2960" w:rsidRPr="008F7F37">
              <w:rPr>
                <w:b/>
                <w:color w:val="000000" w:themeColor="text1"/>
                <w:sz w:val="20"/>
                <w:szCs w:val="20"/>
              </w:rPr>
              <w:t xml:space="preserve"> ans</w:t>
            </w:r>
          </w:p>
        </w:tc>
      </w:tr>
      <w:tr w:rsidR="00F365D1" w:rsidTr="00ED6C5E">
        <w:tc>
          <w:tcPr>
            <w:tcW w:w="6941" w:type="dxa"/>
            <w:vAlign w:val="center"/>
          </w:tcPr>
          <w:p w:rsidR="00F365D1" w:rsidRPr="008F7F37" w:rsidRDefault="00F365D1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Action en répétition ou paiement de salaire</w:t>
            </w:r>
          </w:p>
        </w:tc>
        <w:tc>
          <w:tcPr>
            <w:tcW w:w="2835" w:type="dxa"/>
            <w:vAlign w:val="center"/>
          </w:tcPr>
          <w:p w:rsidR="00F365D1" w:rsidRPr="008F7F37" w:rsidRDefault="00F365D1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3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3C10F5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Crédit à la consommation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2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7D2960" w:rsidRPr="008F7F37" w:rsidRDefault="003C10F5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Eau, gaz, électricité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2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7D2960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Hôtels, hébergements touristiques, agences de voyages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2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7D2960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Hôpitaux, crèches, maisons de retraite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5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7D2960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Action en garantie des vices cachés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2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7D2960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Contraventions et amendes du Juge de Proximité et du Tribunal de Police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3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7D2960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Amendes du Tribunal Correctionnel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5 ans</w:t>
            </w:r>
          </w:p>
        </w:tc>
      </w:tr>
      <w:tr w:rsidR="00ED6C5E" w:rsidTr="00ED6C5E">
        <w:trPr>
          <w:trHeight w:val="465"/>
        </w:trPr>
        <w:tc>
          <w:tcPr>
            <w:tcW w:w="6941" w:type="dxa"/>
            <w:vMerge w:val="restart"/>
            <w:vAlign w:val="center"/>
          </w:tcPr>
          <w:p w:rsidR="00ED6C5E" w:rsidRPr="008F7F37" w:rsidRDefault="00ED6C5E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Action engagée par la Caf pour un trop-perçu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ED6C5E" w:rsidRPr="008F7F37" w:rsidRDefault="00ED6C5E" w:rsidP="00ED6C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2 ans</w:t>
            </w:r>
          </w:p>
        </w:tc>
      </w:tr>
      <w:tr w:rsidR="00ED6C5E" w:rsidTr="00ED6C5E">
        <w:trPr>
          <w:trHeight w:val="465"/>
        </w:trPr>
        <w:tc>
          <w:tcPr>
            <w:tcW w:w="6941" w:type="dxa"/>
            <w:vMerge/>
            <w:vAlign w:val="center"/>
          </w:tcPr>
          <w:p w:rsidR="00ED6C5E" w:rsidRPr="008F7F37" w:rsidRDefault="00ED6C5E" w:rsidP="00AA39D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ED6C5E" w:rsidRPr="008F7F37" w:rsidRDefault="00ED6C5E" w:rsidP="00ED6C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 xml:space="preserve">5 ans </w:t>
            </w:r>
            <w:r w:rsidR="00F365D1" w:rsidRPr="008F7F37">
              <w:rPr>
                <w:b/>
                <w:color w:val="000000" w:themeColor="text1"/>
                <w:sz w:val="20"/>
                <w:szCs w:val="20"/>
              </w:rPr>
              <w:t>si fraude/</w:t>
            </w:r>
            <w:r w:rsidRPr="008F7F3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D6C5E" w:rsidRPr="008F7F37" w:rsidRDefault="00ED6C5E" w:rsidP="00ED6C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fausse déclaration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7D2960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Action engagée contre la Caf pour obtenir le paiement de vos allocations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2 ans</w:t>
            </w:r>
          </w:p>
        </w:tc>
      </w:tr>
      <w:tr w:rsidR="00ED6C5E" w:rsidTr="00ED6C5E">
        <w:trPr>
          <w:trHeight w:val="465"/>
        </w:trPr>
        <w:tc>
          <w:tcPr>
            <w:tcW w:w="6941" w:type="dxa"/>
            <w:vMerge w:val="restart"/>
            <w:vAlign w:val="center"/>
          </w:tcPr>
          <w:p w:rsidR="00ED6C5E" w:rsidRPr="008F7F37" w:rsidRDefault="00ED6C5E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 xml:space="preserve">Action engagée par Pôle Emploi pour un trop-perçu 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ED6C5E" w:rsidRPr="008F7F37" w:rsidRDefault="00ED6C5E" w:rsidP="00ED6C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3 ans</w:t>
            </w:r>
          </w:p>
        </w:tc>
      </w:tr>
      <w:tr w:rsidR="00ED6C5E" w:rsidTr="00ED6C5E">
        <w:trPr>
          <w:trHeight w:val="465"/>
        </w:trPr>
        <w:tc>
          <w:tcPr>
            <w:tcW w:w="6941" w:type="dxa"/>
            <w:vMerge/>
            <w:vAlign w:val="center"/>
          </w:tcPr>
          <w:p w:rsidR="00ED6C5E" w:rsidRPr="008F7F37" w:rsidRDefault="00ED6C5E" w:rsidP="00AA39D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ED6C5E" w:rsidRPr="008F7F37" w:rsidRDefault="00ED6C5E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10 ans en cas de fraude ou fausse déclaration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7D2960" w:rsidP="007D2960">
            <w:pPr>
              <w:rPr>
                <w:spacing w:val="-4"/>
                <w:sz w:val="20"/>
                <w:szCs w:val="20"/>
              </w:rPr>
            </w:pPr>
            <w:r w:rsidRPr="008F7F37">
              <w:rPr>
                <w:spacing w:val="-4"/>
                <w:sz w:val="20"/>
                <w:szCs w:val="20"/>
              </w:rPr>
              <w:t>Action engagée contre Pôle Emploi pour obtenir le paiement de vos indemnités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2 ans</w:t>
            </w:r>
          </w:p>
        </w:tc>
      </w:tr>
      <w:tr w:rsidR="007D2960" w:rsidTr="00ED6C5E">
        <w:trPr>
          <w:trHeight w:val="465"/>
        </w:trPr>
        <w:tc>
          <w:tcPr>
            <w:tcW w:w="6941" w:type="dxa"/>
            <w:vMerge w:val="restart"/>
            <w:vAlign w:val="center"/>
          </w:tcPr>
          <w:p w:rsidR="007D2960" w:rsidRPr="008F7F37" w:rsidRDefault="007D2960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Impôts sur le revenu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7D2960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3 ans</w:t>
            </w:r>
          </w:p>
        </w:tc>
      </w:tr>
      <w:tr w:rsidR="007D2960" w:rsidTr="00ED6C5E">
        <w:trPr>
          <w:trHeight w:val="465"/>
        </w:trPr>
        <w:tc>
          <w:tcPr>
            <w:tcW w:w="6941" w:type="dxa"/>
            <w:vMerge/>
            <w:vAlign w:val="center"/>
          </w:tcPr>
          <w:p w:rsidR="007D2960" w:rsidRPr="008F7F37" w:rsidRDefault="007D2960" w:rsidP="00AA39D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D2960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 xml:space="preserve">5 ans en cas de fraude ou </w:t>
            </w:r>
          </w:p>
          <w:p w:rsidR="007D2960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fausse déclaration</w:t>
            </w:r>
          </w:p>
        </w:tc>
      </w:tr>
      <w:tr w:rsidR="00ED6C5E" w:rsidTr="00ED6C5E">
        <w:trPr>
          <w:trHeight w:val="465"/>
        </w:trPr>
        <w:tc>
          <w:tcPr>
            <w:tcW w:w="6941" w:type="dxa"/>
            <w:vMerge w:val="restart"/>
            <w:vAlign w:val="center"/>
          </w:tcPr>
          <w:p w:rsidR="00ED6C5E" w:rsidRPr="008F7F37" w:rsidRDefault="00ED6C5E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Action engagée par la Sécurité Sociale pour un trop-perçu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ED6C5E" w:rsidRPr="008F7F37" w:rsidRDefault="00ED6C5E" w:rsidP="00ED6C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2 ans</w:t>
            </w:r>
          </w:p>
        </w:tc>
      </w:tr>
      <w:tr w:rsidR="00ED6C5E" w:rsidTr="00ED6C5E">
        <w:trPr>
          <w:trHeight w:val="465"/>
        </w:trPr>
        <w:tc>
          <w:tcPr>
            <w:tcW w:w="6941" w:type="dxa"/>
            <w:vMerge/>
            <w:vAlign w:val="center"/>
          </w:tcPr>
          <w:p w:rsidR="00ED6C5E" w:rsidRPr="008F7F37" w:rsidRDefault="00ED6C5E" w:rsidP="00AA39D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6C5E" w:rsidRPr="008F7F37" w:rsidRDefault="00ED6C5E" w:rsidP="00ED6C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 xml:space="preserve">5 ans en cas de fraude ou </w:t>
            </w:r>
          </w:p>
          <w:p w:rsidR="00ED6C5E" w:rsidRPr="008F7F37" w:rsidRDefault="00ED6C5E" w:rsidP="00ED6C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fausse déclaration</w:t>
            </w:r>
          </w:p>
        </w:tc>
      </w:tr>
      <w:tr w:rsidR="00ED6C5E" w:rsidTr="00ED6C5E">
        <w:trPr>
          <w:trHeight w:val="465"/>
        </w:trPr>
        <w:tc>
          <w:tcPr>
            <w:tcW w:w="6941" w:type="dxa"/>
            <w:vMerge w:val="restart"/>
            <w:vAlign w:val="center"/>
          </w:tcPr>
          <w:p w:rsidR="00ED6C5E" w:rsidRPr="008F7F37" w:rsidRDefault="00ED6C5E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Impôts locaux (taxe d’habitation, taxe foncière)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ED6C5E" w:rsidRPr="008F7F37" w:rsidRDefault="00ED6C5E" w:rsidP="00ED6C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1 an</w:t>
            </w:r>
          </w:p>
        </w:tc>
      </w:tr>
      <w:tr w:rsidR="00ED6C5E" w:rsidTr="00ED6C5E">
        <w:trPr>
          <w:trHeight w:val="465"/>
        </w:trPr>
        <w:tc>
          <w:tcPr>
            <w:tcW w:w="6941" w:type="dxa"/>
            <w:vMerge/>
            <w:vAlign w:val="center"/>
          </w:tcPr>
          <w:p w:rsidR="00ED6C5E" w:rsidRPr="008F7F37" w:rsidRDefault="00ED6C5E" w:rsidP="00AA39D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ED6C5E" w:rsidRPr="008F7F37" w:rsidRDefault="00ED6C5E" w:rsidP="00ED6C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 xml:space="preserve">3 ans en cas de fraude ou </w:t>
            </w:r>
          </w:p>
          <w:p w:rsidR="00ED6C5E" w:rsidRPr="008F7F37" w:rsidRDefault="00ED6C5E" w:rsidP="00ED6C5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fausse déclaration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7D2960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Action en dommages et intérêts à la suite d’un accident corporel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10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7D2960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Délai pour exécuter un jugement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10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7D2960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Délai de l’Administration pour exécuter ses titres exécutoires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4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7D2960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Action contre les huissiers pour la perte de documents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2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7D2960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Action des professionnels de santé pour le paiement de leurs honoraires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5 ans</w:t>
            </w:r>
          </w:p>
        </w:tc>
      </w:tr>
      <w:tr w:rsidR="003C10F5" w:rsidTr="00ED6C5E">
        <w:tc>
          <w:tcPr>
            <w:tcW w:w="6941" w:type="dxa"/>
            <w:vAlign w:val="center"/>
          </w:tcPr>
          <w:p w:rsidR="003C10F5" w:rsidRPr="008F7F37" w:rsidRDefault="007D2960" w:rsidP="00AA39DD">
            <w:pPr>
              <w:rPr>
                <w:sz w:val="20"/>
                <w:szCs w:val="20"/>
              </w:rPr>
            </w:pPr>
            <w:r w:rsidRPr="008F7F37">
              <w:rPr>
                <w:sz w:val="20"/>
                <w:szCs w:val="20"/>
              </w:rPr>
              <w:t>Action des avocats, notaires et huissiers pour le paiement de leurs honoraires</w:t>
            </w:r>
          </w:p>
        </w:tc>
        <w:tc>
          <w:tcPr>
            <w:tcW w:w="2835" w:type="dxa"/>
            <w:vAlign w:val="center"/>
          </w:tcPr>
          <w:p w:rsidR="003C10F5" w:rsidRPr="008F7F37" w:rsidRDefault="007D2960" w:rsidP="007D296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F7F37">
              <w:rPr>
                <w:b/>
                <w:color w:val="000000" w:themeColor="text1"/>
                <w:sz w:val="20"/>
                <w:szCs w:val="20"/>
              </w:rPr>
              <w:t>5 ans</w:t>
            </w:r>
          </w:p>
        </w:tc>
      </w:tr>
    </w:tbl>
    <w:p w:rsidR="00117ECF" w:rsidRPr="0068012D" w:rsidRDefault="00117ECF" w:rsidP="0068012D">
      <w:pPr>
        <w:tabs>
          <w:tab w:val="left" w:pos="6720"/>
        </w:tabs>
        <w:rPr>
          <w:rFonts w:asciiTheme="minorHAnsi" w:hAnsiTheme="minorHAnsi"/>
        </w:rPr>
      </w:pPr>
    </w:p>
    <w:sectPr w:rsidR="00117ECF" w:rsidRPr="0068012D" w:rsidSect="0068012D">
      <w:footerReference w:type="default" r:id="rId11"/>
      <w:pgSz w:w="11906" w:h="16838"/>
      <w:pgMar w:top="426" w:right="1080" w:bottom="284" w:left="1080" w:header="708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B52" w:rsidRDefault="00C67B52" w:rsidP="00264E88">
      <w:pPr>
        <w:spacing w:line="240" w:lineRule="auto"/>
      </w:pPr>
      <w:r>
        <w:separator/>
      </w:r>
    </w:p>
  </w:endnote>
  <w:endnote w:type="continuationSeparator" w:id="1">
    <w:p w:rsidR="00C67B52" w:rsidRDefault="00C67B52" w:rsidP="00264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phaFridgeMagnetsAllCap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978"/>
      <w:gridCol w:w="998"/>
    </w:tblGrid>
    <w:tr w:rsidR="00264E88">
      <w:tc>
        <w:tcPr>
          <w:tcW w:w="4500" w:type="pct"/>
          <w:tcBorders>
            <w:top w:val="single" w:sz="4" w:space="0" w:color="000000"/>
          </w:tcBorders>
        </w:tcPr>
        <w:p w:rsidR="001E4601" w:rsidRDefault="005A55D0" w:rsidP="00CD01A5">
          <w:pPr>
            <w:pStyle w:val="Pieddepage"/>
            <w:jc w:val="center"/>
            <w:rPr>
              <w:sz w:val="18"/>
              <w:szCs w:val="20"/>
            </w:rPr>
          </w:pPr>
          <w:r>
            <w:rPr>
              <w:b/>
              <w:color w:val="E36C0A"/>
              <w:sz w:val="20"/>
            </w:rPr>
            <w:t>Prescription des dettes</w:t>
          </w:r>
          <w:r w:rsidR="00FD451A">
            <w:rPr>
              <w:b/>
              <w:color w:val="E36C0A"/>
              <w:sz w:val="20"/>
            </w:rPr>
            <w:t xml:space="preserve"> </w:t>
          </w:r>
          <w:r w:rsidR="00264E88" w:rsidRPr="00833857">
            <w:rPr>
              <w:sz w:val="20"/>
            </w:rPr>
            <w:t>|</w:t>
          </w:r>
          <w:r w:rsidR="00FB71F5">
            <w:rPr>
              <w:sz w:val="18"/>
              <w:szCs w:val="20"/>
            </w:rPr>
            <w:t>ATELIER</w:t>
          </w:r>
          <w:r w:rsidR="00CD01A5" w:rsidRPr="00833857">
            <w:rPr>
              <w:sz w:val="18"/>
              <w:szCs w:val="20"/>
            </w:rPr>
            <w:t xml:space="preserve"> GRAPHITE </w:t>
          </w:r>
        </w:p>
        <w:p w:rsidR="00F365D1" w:rsidRPr="001E4601" w:rsidRDefault="00FD451A" w:rsidP="00F365D1">
          <w:pPr>
            <w:pStyle w:val="Pieddepage"/>
            <w:jc w:val="center"/>
            <w:rPr>
              <w:sz w:val="18"/>
              <w:szCs w:val="20"/>
            </w:rPr>
          </w:pPr>
          <w:r>
            <w:rPr>
              <w:sz w:val="18"/>
              <w:szCs w:val="20"/>
            </w:rPr>
            <w:t>190 rue Mandron - 330</w:t>
          </w:r>
          <w:r w:rsidR="00CD01A5" w:rsidRPr="00833857">
            <w:rPr>
              <w:sz w:val="18"/>
              <w:szCs w:val="20"/>
            </w:rPr>
            <w:t xml:space="preserve">00 Bordeaux - 05 56 69 82 32 - </w:t>
          </w:r>
          <w:hyperlink r:id="rId1" w:history="1">
            <w:r w:rsidR="00CD01A5" w:rsidRPr="00833857">
              <w:rPr>
                <w:rStyle w:val="Lienhypertexte"/>
                <w:sz w:val="18"/>
                <w:szCs w:val="20"/>
              </w:rPr>
              <w:t>www.atelier-graphite.fr</w:t>
            </w:r>
          </w:hyperlink>
          <w:r>
            <w:rPr>
              <w:sz w:val="18"/>
              <w:szCs w:val="20"/>
            </w:rPr>
            <w:t xml:space="preserve"> - Novembre</w:t>
          </w:r>
          <w:r w:rsidR="00F365D1">
            <w:rPr>
              <w:sz w:val="18"/>
              <w:szCs w:val="20"/>
            </w:rPr>
            <w:t xml:space="preserve"> 2021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264E88" w:rsidRDefault="005A2016">
          <w:pPr>
            <w:pStyle w:val="En-tte"/>
            <w:rPr>
              <w:color w:val="FFFFFF"/>
            </w:rPr>
          </w:pPr>
          <w:r w:rsidRPr="005A2016">
            <w:fldChar w:fldCharType="begin"/>
          </w:r>
          <w:r w:rsidR="00E567C5">
            <w:instrText xml:space="preserve"> PAGE   \* MERGEFORMAT </w:instrText>
          </w:r>
          <w:r w:rsidRPr="005A2016">
            <w:fldChar w:fldCharType="separate"/>
          </w:r>
          <w:r w:rsidR="0068012D" w:rsidRPr="0068012D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264E88" w:rsidRPr="00264E88" w:rsidRDefault="00264E88" w:rsidP="00264E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B52" w:rsidRDefault="00C67B52" w:rsidP="00264E88">
      <w:pPr>
        <w:spacing w:line="240" w:lineRule="auto"/>
      </w:pPr>
      <w:r>
        <w:separator/>
      </w:r>
    </w:p>
  </w:footnote>
  <w:footnote w:type="continuationSeparator" w:id="1">
    <w:p w:rsidR="00C67B52" w:rsidRDefault="00C67B52" w:rsidP="00264E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4F7"/>
    <w:multiLevelType w:val="multilevel"/>
    <w:tmpl w:val="305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5467E"/>
    <w:multiLevelType w:val="hybridMultilevel"/>
    <w:tmpl w:val="CD98ECC6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5068"/>
    <w:multiLevelType w:val="hybridMultilevel"/>
    <w:tmpl w:val="CA4671D8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A038A"/>
    <w:multiLevelType w:val="hybridMultilevel"/>
    <w:tmpl w:val="DF70880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3391"/>
    <w:multiLevelType w:val="hybridMultilevel"/>
    <w:tmpl w:val="FFE246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327A2"/>
    <w:multiLevelType w:val="hybridMultilevel"/>
    <w:tmpl w:val="552277B4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2BEA"/>
    <w:multiLevelType w:val="multilevel"/>
    <w:tmpl w:val="F808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B6B45"/>
    <w:multiLevelType w:val="multilevel"/>
    <w:tmpl w:val="2110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273A0"/>
    <w:multiLevelType w:val="hybridMultilevel"/>
    <w:tmpl w:val="09C8770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B1EB1"/>
    <w:multiLevelType w:val="multilevel"/>
    <w:tmpl w:val="4912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A28A7"/>
    <w:multiLevelType w:val="hybridMultilevel"/>
    <w:tmpl w:val="CFAED0E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34B30"/>
    <w:multiLevelType w:val="hybridMultilevel"/>
    <w:tmpl w:val="6D524A88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80881"/>
    <w:multiLevelType w:val="hybridMultilevel"/>
    <w:tmpl w:val="E39C95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F1520A"/>
    <w:multiLevelType w:val="hybridMultilevel"/>
    <w:tmpl w:val="3D1A56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96F01"/>
    <w:multiLevelType w:val="hybridMultilevel"/>
    <w:tmpl w:val="7EB21B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914E2C"/>
    <w:multiLevelType w:val="hybridMultilevel"/>
    <w:tmpl w:val="2DD00580"/>
    <w:lvl w:ilvl="0" w:tplc="15886F5A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67FF75E9"/>
    <w:multiLevelType w:val="hybridMultilevel"/>
    <w:tmpl w:val="8BFA7B4E"/>
    <w:lvl w:ilvl="0" w:tplc="040C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DA060BE"/>
    <w:multiLevelType w:val="multilevel"/>
    <w:tmpl w:val="54D6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D72B37"/>
    <w:multiLevelType w:val="hybridMultilevel"/>
    <w:tmpl w:val="3EF6D250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F64FE"/>
    <w:multiLevelType w:val="hybridMultilevel"/>
    <w:tmpl w:val="600C02EE"/>
    <w:lvl w:ilvl="0" w:tplc="82EAE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5"/>
  </w:num>
  <w:num w:numId="5">
    <w:abstractNumId w:val="14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10"/>
  </w:num>
  <w:num w:numId="16">
    <w:abstractNumId w:val="19"/>
  </w:num>
  <w:num w:numId="17">
    <w:abstractNumId w:val="11"/>
  </w:num>
  <w:num w:numId="18">
    <w:abstractNumId w:val="1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DB6"/>
    <w:rsid w:val="00002DC6"/>
    <w:rsid w:val="000134E0"/>
    <w:rsid w:val="00062496"/>
    <w:rsid w:val="0006413D"/>
    <w:rsid w:val="000A08D7"/>
    <w:rsid w:val="000A0D6F"/>
    <w:rsid w:val="000B1C29"/>
    <w:rsid w:val="000E330F"/>
    <w:rsid w:val="00113CB8"/>
    <w:rsid w:val="00117ECF"/>
    <w:rsid w:val="00130F52"/>
    <w:rsid w:val="0016345D"/>
    <w:rsid w:val="00171389"/>
    <w:rsid w:val="00184026"/>
    <w:rsid w:val="001C57E6"/>
    <w:rsid w:val="001D2BF0"/>
    <w:rsid w:val="001E4601"/>
    <w:rsid w:val="001F62BB"/>
    <w:rsid w:val="00264E88"/>
    <w:rsid w:val="0027385C"/>
    <w:rsid w:val="002A14A5"/>
    <w:rsid w:val="002A24EF"/>
    <w:rsid w:val="002A6240"/>
    <w:rsid w:val="002D1D2E"/>
    <w:rsid w:val="002F29AC"/>
    <w:rsid w:val="00305D42"/>
    <w:rsid w:val="00305DE6"/>
    <w:rsid w:val="00313AD2"/>
    <w:rsid w:val="003165F4"/>
    <w:rsid w:val="00375D3D"/>
    <w:rsid w:val="003876A1"/>
    <w:rsid w:val="00396093"/>
    <w:rsid w:val="003A0DCF"/>
    <w:rsid w:val="003C10F5"/>
    <w:rsid w:val="003F0168"/>
    <w:rsid w:val="004414FB"/>
    <w:rsid w:val="00443D22"/>
    <w:rsid w:val="00452D83"/>
    <w:rsid w:val="00454F80"/>
    <w:rsid w:val="00474F58"/>
    <w:rsid w:val="00481E4B"/>
    <w:rsid w:val="004B6C47"/>
    <w:rsid w:val="004D5DBC"/>
    <w:rsid w:val="004F6E00"/>
    <w:rsid w:val="00532363"/>
    <w:rsid w:val="00542920"/>
    <w:rsid w:val="00546A45"/>
    <w:rsid w:val="005A2016"/>
    <w:rsid w:val="005A55D0"/>
    <w:rsid w:val="005C6805"/>
    <w:rsid w:val="005D6C76"/>
    <w:rsid w:val="0060373C"/>
    <w:rsid w:val="00645807"/>
    <w:rsid w:val="0068012D"/>
    <w:rsid w:val="00693D84"/>
    <w:rsid w:val="00695375"/>
    <w:rsid w:val="006B4DA8"/>
    <w:rsid w:val="006D5D39"/>
    <w:rsid w:val="00712B2C"/>
    <w:rsid w:val="00715F8E"/>
    <w:rsid w:val="00745A52"/>
    <w:rsid w:val="007A0523"/>
    <w:rsid w:val="007A2045"/>
    <w:rsid w:val="007A56A7"/>
    <w:rsid w:val="007C2C67"/>
    <w:rsid w:val="007D1E2F"/>
    <w:rsid w:val="007D2960"/>
    <w:rsid w:val="007E5B94"/>
    <w:rsid w:val="007E70A2"/>
    <w:rsid w:val="007F088D"/>
    <w:rsid w:val="007F6AF8"/>
    <w:rsid w:val="008004C6"/>
    <w:rsid w:val="0081463E"/>
    <w:rsid w:val="00824ADB"/>
    <w:rsid w:val="00833857"/>
    <w:rsid w:val="00835125"/>
    <w:rsid w:val="008520B6"/>
    <w:rsid w:val="00863955"/>
    <w:rsid w:val="0089011D"/>
    <w:rsid w:val="00897197"/>
    <w:rsid w:val="008B715D"/>
    <w:rsid w:val="008C5F4E"/>
    <w:rsid w:val="008E0739"/>
    <w:rsid w:val="008E3A3A"/>
    <w:rsid w:val="008F2F9C"/>
    <w:rsid w:val="008F7879"/>
    <w:rsid w:val="008F7F37"/>
    <w:rsid w:val="00903F4E"/>
    <w:rsid w:val="00932F60"/>
    <w:rsid w:val="0095257E"/>
    <w:rsid w:val="009528CD"/>
    <w:rsid w:val="0096012F"/>
    <w:rsid w:val="009615BF"/>
    <w:rsid w:val="009F50D4"/>
    <w:rsid w:val="00A06B0E"/>
    <w:rsid w:val="00A152AD"/>
    <w:rsid w:val="00A30B66"/>
    <w:rsid w:val="00A40C1D"/>
    <w:rsid w:val="00A462A9"/>
    <w:rsid w:val="00A85D33"/>
    <w:rsid w:val="00A979E9"/>
    <w:rsid w:val="00AA29B7"/>
    <w:rsid w:val="00AA39DD"/>
    <w:rsid w:val="00AC3FB1"/>
    <w:rsid w:val="00AD5333"/>
    <w:rsid w:val="00AE5C9C"/>
    <w:rsid w:val="00B73814"/>
    <w:rsid w:val="00B802BA"/>
    <w:rsid w:val="00B86A63"/>
    <w:rsid w:val="00BA5364"/>
    <w:rsid w:val="00BC13B2"/>
    <w:rsid w:val="00BC6717"/>
    <w:rsid w:val="00C052C0"/>
    <w:rsid w:val="00C23465"/>
    <w:rsid w:val="00C67B52"/>
    <w:rsid w:val="00C771C9"/>
    <w:rsid w:val="00C918E6"/>
    <w:rsid w:val="00C92CE0"/>
    <w:rsid w:val="00C955E9"/>
    <w:rsid w:val="00CD01A5"/>
    <w:rsid w:val="00CE7CD3"/>
    <w:rsid w:val="00D22435"/>
    <w:rsid w:val="00D31C77"/>
    <w:rsid w:val="00D3221A"/>
    <w:rsid w:val="00D450B5"/>
    <w:rsid w:val="00D51114"/>
    <w:rsid w:val="00D6135E"/>
    <w:rsid w:val="00D80927"/>
    <w:rsid w:val="00DD2903"/>
    <w:rsid w:val="00E128FB"/>
    <w:rsid w:val="00E213F8"/>
    <w:rsid w:val="00E2380F"/>
    <w:rsid w:val="00E31627"/>
    <w:rsid w:val="00E567C5"/>
    <w:rsid w:val="00E609F4"/>
    <w:rsid w:val="00E7243F"/>
    <w:rsid w:val="00E73243"/>
    <w:rsid w:val="00E93A5E"/>
    <w:rsid w:val="00EB43C2"/>
    <w:rsid w:val="00EB7A89"/>
    <w:rsid w:val="00EB7CC1"/>
    <w:rsid w:val="00ED6C5E"/>
    <w:rsid w:val="00EE75D0"/>
    <w:rsid w:val="00EF61E1"/>
    <w:rsid w:val="00F12ECD"/>
    <w:rsid w:val="00F254A8"/>
    <w:rsid w:val="00F314B0"/>
    <w:rsid w:val="00F365D1"/>
    <w:rsid w:val="00F37443"/>
    <w:rsid w:val="00FB71F5"/>
    <w:rsid w:val="00FC0DB6"/>
    <w:rsid w:val="00FD3EE2"/>
    <w:rsid w:val="00FD451A"/>
    <w:rsid w:val="00FE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33"/>
    <w:pPr>
      <w:spacing w:line="276" w:lineRule="auto"/>
      <w:jc w:val="both"/>
    </w:pPr>
    <w:rPr>
      <w:rFonts w:cs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903F4E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2CE0"/>
    <w:pPr>
      <w:keepNext/>
      <w:spacing w:before="240" w:after="60"/>
      <w:outlineLvl w:val="1"/>
    </w:pPr>
    <w:rPr>
      <w:rFonts w:ascii="AlphaFridgeMagnetsAllCap" w:hAnsi="AlphaFridgeMagnetsAllCap"/>
      <w:bCs/>
      <w:iCs/>
      <w:color w:val="4F81BD" w:themeColor="accen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1389"/>
    <w:pPr>
      <w:keepNext/>
      <w:keepLines/>
      <w:spacing w:before="200"/>
      <w:outlineLvl w:val="2"/>
    </w:pPr>
    <w:rPr>
      <w:rFonts w:ascii="AlphaFridgeMagnetsAllCap" w:eastAsiaTheme="majorEastAsia" w:hAnsi="AlphaFridgeMagnetsAllCap" w:cstheme="majorBidi"/>
      <w:b/>
      <w:bCs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903F4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locked/>
    <w:rsid w:val="00C92CE0"/>
    <w:rPr>
      <w:rFonts w:ascii="AlphaFridgeMagnetsAllCap" w:hAnsi="AlphaFridgeMagnetsAllCap" w:cs="Times New Roman"/>
      <w:bCs/>
      <w:iCs/>
      <w:color w:val="4F81BD" w:themeColor="accent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FC0DB6"/>
    <w:rPr>
      <w:rFonts w:cs="Times New Roman"/>
      <w:color w:val="0000FF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3F4E"/>
    <w:pPr>
      <w:pBdr>
        <w:bottom w:val="single" w:sz="4" w:space="4" w:color="4F81BD"/>
      </w:pBdr>
      <w:spacing w:before="200" w:after="280" w:line="240" w:lineRule="auto"/>
      <w:ind w:left="936" w:right="936"/>
      <w:jc w:val="left"/>
    </w:pPr>
    <w:rPr>
      <w:rFonts w:ascii="Times New Roman" w:hAnsi="Times New Roman"/>
      <w:b/>
      <w:bCs/>
      <w:i/>
      <w:iCs/>
      <w:color w:val="4F81BD"/>
      <w:sz w:val="24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locked/>
    <w:rsid w:val="00903F4E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titre10">
    <w:name w:val="titre 1"/>
    <w:basedOn w:val="Normal"/>
    <w:link w:val="titre1Car0"/>
    <w:qFormat/>
    <w:rsid w:val="00171389"/>
    <w:pPr>
      <w:jc w:val="center"/>
    </w:pPr>
    <w:rPr>
      <w:rFonts w:ascii="AlphaFridgeMagnetsAllCap" w:hAnsi="AlphaFridgeMagnetsAllCap"/>
      <w:color w:val="E36C0A"/>
      <w:sz w:val="32"/>
    </w:rPr>
  </w:style>
  <w:style w:type="character" w:customStyle="1" w:styleId="titre1Car0">
    <w:name w:val="titre 1 Car"/>
    <w:basedOn w:val="Policepardfaut"/>
    <w:link w:val="titre10"/>
    <w:locked/>
    <w:rsid w:val="00171389"/>
    <w:rPr>
      <w:rFonts w:ascii="AlphaFridgeMagnetsAllCap" w:hAnsi="AlphaFridgeMagnetsAllCap" w:cs="Times New Roman"/>
      <w:color w:val="E36C0A"/>
      <w:sz w:val="3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30B66"/>
    <w:pPr>
      <w:spacing w:line="240" w:lineRule="auto"/>
      <w:ind w:left="720" w:hanging="1021"/>
      <w:contextualSpacing/>
      <w:jc w:val="left"/>
    </w:pPr>
    <w:rPr>
      <w:rFonts w:eastAsia="SimSun"/>
    </w:rPr>
  </w:style>
  <w:style w:type="paragraph" w:styleId="En-tte">
    <w:name w:val="header"/>
    <w:basedOn w:val="Normal"/>
    <w:link w:val="En-tt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64E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4E88"/>
    <w:rPr>
      <w:rFonts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E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4E88"/>
    <w:rPr>
      <w:rFonts w:ascii="Tahoma" w:hAnsi="Tahoma" w:cs="Tahoma"/>
      <w:sz w:val="16"/>
      <w:szCs w:val="1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3FB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AC3FB1"/>
    <w:pPr>
      <w:spacing w:after="100"/>
      <w:ind w:left="220"/>
      <w:jc w:val="left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AC3FB1"/>
    <w:pPr>
      <w:spacing w:after="100"/>
      <w:jc w:val="left"/>
    </w:p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AC3FB1"/>
    <w:pPr>
      <w:spacing w:after="100"/>
      <w:ind w:left="44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43D2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3D22"/>
    <w:rPr>
      <w:rFonts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43D22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171389"/>
    <w:rPr>
      <w:rFonts w:ascii="AlphaFridgeMagnetsAllCap" w:eastAsiaTheme="majorEastAsia" w:hAnsi="AlphaFridgeMagnetsAllCap" w:cstheme="majorBidi"/>
      <w:b/>
      <w:bCs/>
      <w:color w:val="C0504D" w:themeColor="accent2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B4DA8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3C1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5A5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84">
          <w:marLeft w:val="0"/>
          <w:marRight w:val="0"/>
          <w:marTop w:val="0"/>
          <w:marBottom w:val="300"/>
          <w:divBdr>
            <w:top w:val="single" w:sz="2" w:space="0" w:color="D4D4D4"/>
            <w:left w:val="single" w:sz="2" w:space="0" w:color="D4D4D4"/>
            <w:bottom w:val="single" w:sz="6" w:space="0" w:color="D4D4D4"/>
            <w:right w:val="single" w:sz="2" w:space="0" w:color="D4D4D4"/>
          </w:divBdr>
        </w:div>
        <w:div w:id="1262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81">
          <w:marLeft w:val="0"/>
          <w:marRight w:val="0"/>
          <w:marTop w:val="0"/>
          <w:marBottom w:val="250"/>
          <w:divBdr>
            <w:top w:val="single" w:sz="2" w:space="0" w:color="D4D4D4"/>
            <w:left w:val="single" w:sz="2" w:space="0" w:color="D4D4D4"/>
            <w:bottom w:val="single" w:sz="4" w:space="0" w:color="D4D4D4"/>
            <w:right w:val="single" w:sz="2" w:space="0" w:color="D4D4D4"/>
          </w:divBdr>
        </w:div>
        <w:div w:id="12623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7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affichTexte.do?cidTexte=JORFTEXT0000190136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e.gouv.fr/dgccrf/Publications/Vie-pratique/Fiches-pratiques/Delais-de-prescrip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dj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-graph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88CB-1065-4642-B169-FF96794A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4450</CharactersWithSpaces>
  <SharedDoc>false</SharedDoc>
  <HLinks>
    <vt:vector size="120" baseType="variant"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_Toc349119286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_Toc349119285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_Toc349119284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_Toc349119283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_Toc349119282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_Toc349119281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_Toc349119280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_Toc349119279</vt:lpwstr>
      </vt:variant>
      <vt:variant>
        <vt:i4>1835065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_Toc349119278</vt:lpwstr>
      </vt:variant>
      <vt:variant>
        <vt:i4>1835065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_Toc349119277</vt:lpwstr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_Toc349119276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_Toc349119275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_Toc349119274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_Toc349119273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_Toc349119272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_Toc349119271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_Toc349119270</vt:lpwstr>
      </vt:variant>
      <vt:variant>
        <vt:i4>1900601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_Toc349119269</vt:lpwstr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http://fr.wikipedia.org/wiki/Principe_de_subsidiarit%C3%A9</vt:lpwstr>
      </vt:variant>
      <vt:variant>
        <vt:lpwstr/>
      </vt:variant>
      <vt:variant>
        <vt:i4>7471208</vt:i4>
      </vt:variant>
      <vt:variant>
        <vt:i4>0</vt:i4>
      </vt:variant>
      <vt:variant>
        <vt:i4>0</vt:i4>
      </vt:variant>
      <vt:variant>
        <vt:i4>5</vt:i4>
      </vt:variant>
      <vt:variant>
        <vt:lpwstr>http://www.atelier-graphite.fr/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Léna</cp:lastModifiedBy>
  <cp:revision>6</cp:revision>
  <dcterms:created xsi:type="dcterms:W3CDTF">2021-11-09T15:16:00Z</dcterms:created>
  <dcterms:modified xsi:type="dcterms:W3CDTF">2021-11-09T15:29:00Z</dcterms:modified>
</cp:coreProperties>
</file>